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CB83" w14:textId="77777777" w:rsidR="00010B43" w:rsidRDefault="00010B43" w:rsidP="00232F5C">
      <w:pPr>
        <w:rPr>
          <w:i/>
          <w:sz w:val="44"/>
        </w:rPr>
      </w:pPr>
    </w:p>
    <w:p w14:paraId="568D3003" w14:textId="77777777" w:rsidR="00030B74" w:rsidRDefault="00030B74" w:rsidP="00232F5C">
      <w:pPr>
        <w:rPr>
          <w:i/>
          <w:sz w:val="44"/>
        </w:rPr>
      </w:pPr>
    </w:p>
    <w:p w14:paraId="0177D19D" w14:textId="77777777" w:rsidR="00030B74" w:rsidRDefault="00030B74" w:rsidP="00232F5C">
      <w:pPr>
        <w:rPr>
          <w:i/>
          <w:sz w:val="44"/>
        </w:rPr>
      </w:pPr>
    </w:p>
    <w:p w14:paraId="6CB12470" w14:textId="611D22AF" w:rsidR="00232F5C" w:rsidRPr="003372B7" w:rsidRDefault="00232F5C" w:rsidP="00232F5C">
      <w:pPr>
        <w:rPr>
          <w:sz w:val="28"/>
        </w:rPr>
      </w:pPr>
      <w:r w:rsidRPr="003372B7">
        <w:rPr>
          <w:sz w:val="48"/>
        </w:rPr>
        <w:t xml:space="preserve">Double Up Food Bucks Colorado </w:t>
      </w:r>
      <w:r w:rsidR="00010B43" w:rsidRPr="003372B7">
        <w:rPr>
          <w:sz w:val="48"/>
        </w:rPr>
        <w:t>20</w:t>
      </w:r>
      <w:r w:rsidR="0081207A">
        <w:rPr>
          <w:sz w:val="48"/>
        </w:rPr>
        <w:t>2</w:t>
      </w:r>
      <w:r w:rsidR="00735D2E">
        <w:rPr>
          <w:sz w:val="48"/>
        </w:rPr>
        <w:t>3</w:t>
      </w:r>
      <w:r w:rsidR="00010B43" w:rsidRPr="003372B7">
        <w:rPr>
          <w:sz w:val="48"/>
        </w:rPr>
        <w:t xml:space="preserve"> </w:t>
      </w:r>
      <w:r w:rsidRPr="003372B7">
        <w:rPr>
          <w:sz w:val="48"/>
        </w:rPr>
        <w:t>Evaluation</w:t>
      </w:r>
      <w:r w:rsidRPr="003372B7">
        <w:rPr>
          <w:noProof/>
          <w:sz w:val="28"/>
        </w:rPr>
        <w:t xml:space="preserve"> </w:t>
      </w:r>
    </w:p>
    <w:p w14:paraId="578E5FD3" w14:textId="77777777" w:rsidR="00010B43" w:rsidRPr="003372B7" w:rsidRDefault="00010B43" w:rsidP="00010B43">
      <w:pPr>
        <w:pStyle w:val="Heading1"/>
        <w:numPr>
          <w:ilvl w:val="0"/>
          <w:numId w:val="0"/>
        </w:numPr>
        <w:ind w:left="360" w:hanging="360"/>
      </w:pPr>
      <w:bookmarkStart w:id="0" w:name="_Toc527625798"/>
    </w:p>
    <w:p w14:paraId="0BFF0CCE" w14:textId="77777777" w:rsidR="00010B43" w:rsidRPr="003372B7" w:rsidRDefault="00010B43" w:rsidP="00010B43"/>
    <w:p w14:paraId="529AE492" w14:textId="77777777" w:rsidR="00030B74" w:rsidRPr="003372B7" w:rsidRDefault="00010B43" w:rsidP="00B678D0">
      <w:pPr>
        <w:jc w:val="center"/>
      </w:pPr>
      <w:r w:rsidRPr="003372B7">
        <w:rPr>
          <w:noProof/>
        </w:rPr>
        <w:drawing>
          <wp:inline distT="0" distB="0" distL="0" distR="0" wp14:anchorId="4DA21A8F" wp14:editId="5EE1C879">
            <wp:extent cx="3291840" cy="3291840"/>
            <wp:effectExtent l="0" t="0" r="3810" b="3810"/>
            <wp:docPr id="2" name="Picture 1" descr="S:\Marketing &amp; Communications\Double Up Colorado\2016\DUFB Logo &amp; Brand Guidelines\DUFB-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 &amp; Communications\Double Up Colorado\2016\DUFB Logo &amp; Brand Guidelines\DUFB-Squ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inline>
        </w:drawing>
      </w:r>
      <w:r w:rsidR="00B678D0" w:rsidRPr="003372B7">
        <w:t xml:space="preserve">  </w:t>
      </w:r>
    </w:p>
    <w:p w14:paraId="1B3F958D" w14:textId="77777777" w:rsidR="00030B74" w:rsidRPr="003372B7" w:rsidRDefault="00030B74" w:rsidP="00B678D0">
      <w:pPr>
        <w:jc w:val="center"/>
      </w:pPr>
    </w:p>
    <w:p w14:paraId="7158F3E6" w14:textId="77777777" w:rsidR="00030B74" w:rsidRPr="003372B7" w:rsidRDefault="00030B74" w:rsidP="00B678D0">
      <w:pPr>
        <w:jc w:val="center"/>
      </w:pPr>
    </w:p>
    <w:p w14:paraId="6211C62A" w14:textId="77777777" w:rsidR="00113545" w:rsidRDefault="00113545" w:rsidP="00B678D0">
      <w:pPr>
        <w:jc w:val="center"/>
      </w:pPr>
    </w:p>
    <w:p w14:paraId="7C91A8CD" w14:textId="26CE019E" w:rsidR="00010B43" w:rsidRDefault="00B678D0" w:rsidP="00B678D0">
      <w:pPr>
        <w:jc w:val="center"/>
      </w:pPr>
      <w:r w:rsidRPr="003372B7">
        <w:t xml:space="preserve">     </w:t>
      </w:r>
    </w:p>
    <w:p w14:paraId="4820DCD2" w14:textId="24E554B8" w:rsidR="00C37D6F" w:rsidRDefault="00C37D6F" w:rsidP="00B678D0">
      <w:pPr>
        <w:jc w:val="center"/>
      </w:pPr>
    </w:p>
    <w:p w14:paraId="0CEFE5F9" w14:textId="6A562DBD" w:rsidR="00C37D6F" w:rsidRDefault="00C37D6F" w:rsidP="00B678D0">
      <w:pPr>
        <w:jc w:val="center"/>
      </w:pPr>
    </w:p>
    <w:p w14:paraId="072592EA" w14:textId="4781DA06" w:rsidR="00C37D6F" w:rsidRDefault="00C37D6F" w:rsidP="00B678D0">
      <w:pPr>
        <w:jc w:val="center"/>
      </w:pPr>
    </w:p>
    <w:p w14:paraId="5B95E8CD" w14:textId="2110EB66" w:rsidR="00C37D6F" w:rsidRDefault="00C37D6F" w:rsidP="00B678D0">
      <w:pPr>
        <w:jc w:val="center"/>
      </w:pPr>
    </w:p>
    <w:p w14:paraId="21236340" w14:textId="77777777" w:rsidR="00C37D6F" w:rsidRPr="003372B7" w:rsidRDefault="00C37D6F" w:rsidP="00B678D0">
      <w:pPr>
        <w:jc w:val="center"/>
      </w:pPr>
    </w:p>
    <w:sdt>
      <w:sdtPr>
        <w:rPr>
          <w:rFonts w:eastAsiaTheme="minorEastAsia" w:cstheme="minorBidi"/>
          <w:b w:val="0"/>
          <w:bCs w:val="0"/>
          <w:caps w:val="0"/>
          <w:sz w:val="24"/>
          <w:szCs w:val="24"/>
        </w:rPr>
        <w:id w:val="255727230"/>
        <w:docPartObj>
          <w:docPartGallery w:val="Table of Contents"/>
          <w:docPartUnique/>
        </w:docPartObj>
      </w:sdtPr>
      <w:sdtEndPr>
        <w:rPr>
          <w:noProof/>
        </w:rPr>
      </w:sdtEndPr>
      <w:sdtContent>
        <w:p w14:paraId="0B0BFB48" w14:textId="77777777" w:rsidR="00010B43" w:rsidRPr="003372B7" w:rsidRDefault="00010B43">
          <w:pPr>
            <w:pStyle w:val="TOCHeading"/>
          </w:pPr>
          <w:r w:rsidRPr="003372B7">
            <w:t>Contents</w:t>
          </w:r>
        </w:p>
        <w:p w14:paraId="40D54522" w14:textId="47C060E9" w:rsidR="00BF32E2" w:rsidRDefault="00010B43">
          <w:pPr>
            <w:pStyle w:val="TOC1"/>
            <w:tabs>
              <w:tab w:val="left" w:pos="480"/>
              <w:tab w:val="right" w:leader="dot" w:pos="10790"/>
            </w:tabs>
            <w:rPr>
              <w:noProof/>
            </w:rPr>
          </w:pPr>
          <w:r w:rsidRPr="003372B7">
            <w:rPr>
              <w:b/>
              <w:bCs/>
              <w:noProof/>
            </w:rPr>
            <w:fldChar w:fldCharType="begin"/>
          </w:r>
          <w:r w:rsidRPr="003372B7">
            <w:rPr>
              <w:b/>
              <w:bCs/>
              <w:noProof/>
            </w:rPr>
            <w:instrText xml:space="preserve"> TOC \o "1-3" \h \z \u </w:instrText>
          </w:r>
          <w:r w:rsidRPr="003372B7">
            <w:rPr>
              <w:b/>
              <w:bCs/>
              <w:noProof/>
            </w:rPr>
            <w:fldChar w:fldCharType="separate"/>
          </w:r>
          <w:hyperlink w:anchor="_Toc109639721" w:history="1">
            <w:r w:rsidR="00BF32E2" w:rsidRPr="00F53421">
              <w:rPr>
                <w:rStyle w:val="Hyperlink"/>
                <w:noProof/>
              </w:rPr>
              <w:t>I.</w:t>
            </w:r>
            <w:r w:rsidR="00BF32E2">
              <w:rPr>
                <w:noProof/>
              </w:rPr>
              <w:tab/>
            </w:r>
            <w:r w:rsidR="00BF32E2" w:rsidRPr="00F53421">
              <w:rPr>
                <w:rStyle w:val="Hyperlink"/>
                <w:noProof/>
              </w:rPr>
              <w:t>Introduction</w:t>
            </w:r>
            <w:r w:rsidR="00BF32E2">
              <w:rPr>
                <w:noProof/>
                <w:webHidden/>
              </w:rPr>
              <w:tab/>
            </w:r>
            <w:r w:rsidR="00BF32E2">
              <w:rPr>
                <w:noProof/>
                <w:webHidden/>
              </w:rPr>
              <w:fldChar w:fldCharType="begin"/>
            </w:r>
            <w:r w:rsidR="00BF32E2">
              <w:rPr>
                <w:noProof/>
                <w:webHidden/>
              </w:rPr>
              <w:instrText xml:space="preserve"> PAGEREF _Toc109639721 \h </w:instrText>
            </w:r>
            <w:r w:rsidR="00BF32E2">
              <w:rPr>
                <w:noProof/>
                <w:webHidden/>
              </w:rPr>
            </w:r>
            <w:r w:rsidR="00BF32E2">
              <w:rPr>
                <w:noProof/>
                <w:webHidden/>
              </w:rPr>
              <w:fldChar w:fldCharType="separate"/>
            </w:r>
            <w:r w:rsidR="00BF32E2">
              <w:rPr>
                <w:noProof/>
                <w:webHidden/>
              </w:rPr>
              <w:t>3</w:t>
            </w:r>
            <w:r w:rsidR="00BF32E2">
              <w:rPr>
                <w:noProof/>
                <w:webHidden/>
              </w:rPr>
              <w:fldChar w:fldCharType="end"/>
            </w:r>
          </w:hyperlink>
        </w:p>
        <w:p w14:paraId="50CA0F2E" w14:textId="033033A4" w:rsidR="00BF32E2" w:rsidRDefault="00000000">
          <w:pPr>
            <w:pStyle w:val="TOC1"/>
            <w:tabs>
              <w:tab w:val="left" w:pos="480"/>
              <w:tab w:val="right" w:leader="dot" w:pos="10790"/>
            </w:tabs>
            <w:rPr>
              <w:noProof/>
            </w:rPr>
          </w:pPr>
          <w:hyperlink w:anchor="_Toc109639722" w:history="1">
            <w:r w:rsidR="00BF32E2" w:rsidRPr="00F53421">
              <w:rPr>
                <w:rStyle w:val="Hyperlink"/>
                <w:noProof/>
              </w:rPr>
              <w:t>II.</w:t>
            </w:r>
            <w:r w:rsidR="00BF32E2">
              <w:rPr>
                <w:noProof/>
              </w:rPr>
              <w:tab/>
            </w:r>
            <w:r w:rsidR="00BF32E2" w:rsidRPr="00F53421">
              <w:rPr>
                <w:rStyle w:val="Hyperlink"/>
                <w:noProof/>
              </w:rPr>
              <w:t>Customer Interaction with Double Up</w:t>
            </w:r>
            <w:r w:rsidR="00BF32E2">
              <w:rPr>
                <w:noProof/>
                <w:webHidden/>
              </w:rPr>
              <w:tab/>
            </w:r>
            <w:r w:rsidR="00BF32E2">
              <w:rPr>
                <w:noProof/>
                <w:webHidden/>
              </w:rPr>
              <w:fldChar w:fldCharType="begin"/>
            </w:r>
            <w:r w:rsidR="00BF32E2">
              <w:rPr>
                <w:noProof/>
                <w:webHidden/>
              </w:rPr>
              <w:instrText xml:space="preserve"> PAGEREF _Toc109639722 \h </w:instrText>
            </w:r>
            <w:r w:rsidR="00BF32E2">
              <w:rPr>
                <w:noProof/>
                <w:webHidden/>
              </w:rPr>
            </w:r>
            <w:r w:rsidR="00BF32E2">
              <w:rPr>
                <w:noProof/>
                <w:webHidden/>
              </w:rPr>
              <w:fldChar w:fldCharType="separate"/>
            </w:r>
            <w:r w:rsidR="00BF32E2">
              <w:rPr>
                <w:noProof/>
                <w:webHidden/>
              </w:rPr>
              <w:t>3</w:t>
            </w:r>
            <w:r w:rsidR="00BF32E2">
              <w:rPr>
                <w:noProof/>
                <w:webHidden/>
              </w:rPr>
              <w:fldChar w:fldCharType="end"/>
            </w:r>
          </w:hyperlink>
        </w:p>
        <w:p w14:paraId="72B52BC7" w14:textId="445BC858" w:rsidR="00BF32E2" w:rsidRDefault="00000000">
          <w:pPr>
            <w:pStyle w:val="TOC3"/>
            <w:tabs>
              <w:tab w:val="right" w:leader="dot" w:pos="10790"/>
            </w:tabs>
            <w:rPr>
              <w:noProof/>
            </w:rPr>
          </w:pPr>
          <w:hyperlink w:anchor="_Toc109639723" w:history="1">
            <w:r w:rsidR="00BF32E2" w:rsidRPr="00F53421">
              <w:rPr>
                <w:rStyle w:val="Hyperlink"/>
                <w:noProof/>
              </w:rPr>
              <w:t>Financial Impact</w:t>
            </w:r>
            <w:r w:rsidR="00BF32E2">
              <w:rPr>
                <w:noProof/>
                <w:webHidden/>
              </w:rPr>
              <w:tab/>
            </w:r>
            <w:r w:rsidR="00BF32E2">
              <w:rPr>
                <w:noProof/>
                <w:webHidden/>
              </w:rPr>
              <w:fldChar w:fldCharType="begin"/>
            </w:r>
            <w:r w:rsidR="00BF32E2">
              <w:rPr>
                <w:noProof/>
                <w:webHidden/>
              </w:rPr>
              <w:instrText xml:space="preserve"> PAGEREF _Toc109639723 \h </w:instrText>
            </w:r>
            <w:r w:rsidR="00BF32E2">
              <w:rPr>
                <w:noProof/>
                <w:webHidden/>
              </w:rPr>
            </w:r>
            <w:r w:rsidR="00BF32E2">
              <w:rPr>
                <w:noProof/>
                <w:webHidden/>
              </w:rPr>
              <w:fldChar w:fldCharType="separate"/>
            </w:r>
            <w:r w:rsidR="00BF32E2">
              <w:rPr>
                <w:noProof/>
                <w:webHidden/>
              </w:rPr>
              <w:t>3</w:t>
            </w:r>
            <w:r w:rsidR="00BF32E2">
              <w:rPr>
                <w:noProof/>
                <w:webHidden/>
              </w:rPr>
              <w:fldChar w:fldCharType="end"/>
            </w:r>
          </w:hyperlink>
        </w:p>
        <w:p w14:paraId="2B5D69DB" w14:textId="59E738F7" w:rsidR="00BF32E2" w:rsidRDefault="00000000">
          <w:pPr>
            <w:pStyle w:val="TOC3"/>
            <w:tabs>
              <w:tab w:val="right" w:leader="dot" w:pos="10790"/>
            </w:tabs>
            <w:rPr>
              <w:noProof/>
            </w:rPr>
          </w:pPr>
          <w:hyperlink w:anchor="_Toc109639724" w:history="1">
            <w:r w:rsidR="00BF32E2" w:rsidRPr="00F53421">
              <w:rPr>
                <w:rStyle w:val="Hyperlink"/>
                <w:noProof/>
              </w:rPr>
              <w:t>Customer Visits</w:t>
            </w:r>
            <w:r w:rsidR="00BF32E2">
              <w:rPr>
                <w:noProof/>
                <w:webHidden/>
              </w:rPr>
              <w:tab/>
            </w:r>
            <w:r w:rsidR="00BF32E2">
              <w:rPr>
                <w:noProof/>
                <w:webHidden/>
              </w:rPr>
              <w:fldChar w:fldCharType="begin"/>
            </w:r>
            <w:r w:rsidR="00BF32E2">
              <w:rPr>
                <w:noProof/>
                <w:webHidden/>
              </w:rPr>
              <w:instrText xml:space="preserve"> PAGEREF _Toc109639724 \h </w:instrText>
            </w:r>
            <w:r w:rsidR="00BF32E2">
              <w:rPr>
                <w:noProof/>
                <w:webHidden/>
              </w:rPr>
            </w:r>
            <w:r w:rsidR="00BF32E2">
              <w:rPr>
                <w:noProof/>
                <w:webHidden/>
              </w:rPr>
              <w:fldChar w:fldCharType="separate"/>
            </w:r>
            <w:r w:rsidR="00BF32E2">
              <w:rPr>
                <w:noProof/>
                <w:webHidden/>
              </w:rPr>
              <w:t>4</w:t>
            </w:r>
            <w:r w:rsidR="00BF32E2">
              <w:rPr>
                <w:noProof/>
                <w:webHidden/>
              </w:rPr>
              <w:fldChar w:fldCharType="end"/>
            </w:r>
          </w:hyperlink>
        </w:p>
        <w:p w14:paraId="39B2B413" w14:textId="533706B4" w:rsidR="00BF32E2" w:rsidRDefault="00000000">
          <w:pPr>
            <w:pStyle w:val="TOC3"/>
            <w:tabs>
              <w:tab w:val="right" w:leader="dot" w:pos="10790"/>
            </w:tabs>
            <w:rPr>
              <w:noProof/>
            </w:rPr>
          </w:pPr>
          <w:hyperlink w:anchor="_Toc109639725" w:history="1">
            <w:r w:rsidR="00BF32E2" w:rsidRPr="00F53421">
              <w:rPr>
                <w:rStyle w:val="Hyperlink"/>
                <w:noProof/>
              </w:rPr>
              <w:t>Customer Experience</w:t>
            </w:r>
            <w:r w:rsidR="00BF32E2">
              <w:rPr>
                <w:noProof/>
                <w:webHidden/>
              </w:rPr>
              <w:tab/>
            </w:r>
            <w:r w:rsidR="00BF32E2">
              <w:rPr>
                <w:noProof/>
                <w:webHidden/>
              </w:rPr>
              <w:fldChar w:fldCharType="begin"/>
            </w:r>
            <w:r w:rsidR="00BF32E2">
              <w:rPr>
                <w:noProof/>
                <w:webHidden/>
              </w:rPr>
              <w:instrText xml:space="preserve"> PAGEREF _Toc109639725 \h </w:instrText>
            </w:r>
            <w:r w:rsidR="00BF32E2">
              <w:rPr>
                <w:noProof/>
                <w:webHidden/>
              </w:rPr>
            </w:r>
            <w:r w:rsidR="00BF32E2">
              <w:rPr>
                <w:noProof/>
                <w:webHidden/>
              </w:rPr>
              <w:fldChar w:fldCharType="separate"/>
            </w:r>
            <w:r w:rsidR="00BF32E2">
              <w:rPr>
                <w:noProof/>
                <w:webHidden/>
              </w:rPr>
              <w:t>5</w:t>
            </w:r>
            <w:r w:rsidR="00BF32E2">
              <w:rPr>
                <w:noProof/>
                <w:webHidden/>
              </w:rPr>
              <w:fldChar w:fldCharType="end"/>
            </w:r>
          </w:hyperlink>
        </w:p>
        <w:p w14:paraId="17B31B9D" w14:textId="0E89E55F" w:rsidR="00BF32E2" w:rsidRDefault="00000000">
          <w:pPr>
            <w:pStyle w:val="TOC3"/>
            <w:tabs>
              <w:tab w:val="right" w:leader="dot" w:pos="10790"/>
            </w:tabs>
            <w:rPr>
              <w:noProof/>
            </w:rPr>
          </w:pPr>
          <w:hyperlink w:anchor="_Toc109639726" w:history="1">
            <w:r w:rsidR="00BF32E2" w:rsidRPr="00F53421">
              <w:rPr>
                <w:rStyle w:val="Hyperlink"/>
                <w:noProof/>
              </w:rPr>
              <w:t>Preliminary 2023 Findings</w:t>
            </w:r>
            <w:r w:rsidR="00BF32E2">
              <w:rPr>
                <w:noProof/>
                <w:webHidden/>
              </w:rPr>
              <w:tab/>
            </w:r>
            <w:r w:rsidR="00BF32E2">
              <w:rPr>
                <w:noProof/>
                <w:webHidden/>
              </w:rPr>
              <w:fldChar w:fldCharType="begin"/>
            </w:r>
            <w:r w:rsidR="00BF32E2">
              <w:rPr>
                <w:noProof/>
                <w:webHidden/>
              </w:rPr>
              <w:instrText xml:space="preserve"> PAGEREF _Toc109639726 \h </w:instrText>
            </w:r>
            <w:r w:rsidR="00BF32E2">
              <w:rPr>
                <w:noProof/>
                <w:webHidden/>
              </w:rPr>
            </w:r>
            <w:r w:rsidR="00BF32E2">
              <w:rPr>
                <w:noProof/>
                <w:webHidden/>
              </w:rPr>
              <w:fldChar w:fldCharType="separate"/>
            </w:r>
            <w:r w:rsidR="00BF32E2">
              <w:rPr>
                <w:noProof/>
                <w:webHidden/>
              </w:rPr>
              <w:t>5</w:t>
            </w:r>
            <w:r w:rsidR="00BF32E2">
              <w:rPr>
                <w:noProof/>
                <w:webHidden/>
              </w:rPr>
              <w:fldChar w:fldCharType="end"/>
            </w:r>
          </w:hyperlink>
        </w:p>
        <w:p w14:paraId="4D37204A" w14:textId="53FBDBE0" w:rsidR="00BF32E2" w:rsidRDefault="00000000">
          <w:pPr>
            <w:pStyle w:val="TOC1"/>
            <w:tabs>
              <w:tab w:val="left" w:pos="720"/>
              <w:tab w:val="right" w:leader="dot" w:pos="10790"/>
            </w:tabs>
            <w:rPr>
              <w:noProof/>
            </w:rPr>
          </w:pPr>
          <w:hyperlink w:anchor="_Toc109639727" w:history="1">
            <w:r w:rsidR="00BF32E2" w:rsidRPr="00F53421">
              <w:rPr>
                <w:rStyle w:val="Hyperlink"/>
                <w:noProof/>
              </w:rPr>
              <w:t>III.</w:t>
            </w:r>
            <w:r w:rsidR="00BF32E2">
              <w:rPr>
                <w:noProof/>
              </w:rPr>
              <w:tab/>
            </w:r>
            <w:r w:rsidR="00BF32E2" w:rsidRPr="00F53421">
              <w:rPr>
                <w:rStyle w:val="Hyperlink"/>
                <w:noProof/>
              </w:rPr>
              <w:t>Customer Demographic Trends</w:t>
            </w:r>
            <w:r w:rsidR="00BF32E2">
              <w:rPr>
                <w:noProof/>
                <w:webHidden/>
              </w:rPr>
              <w:tab/>
            </w:r>
            <w:r w:rsidR="00BF32E2">
              <w:rPr>
                <w:noProof/>
                <w:webHidden/>
              </w:rPr>
              <w:fldChar w:fldCharType="begin"/>
            </w:r>
            <w:r w:rsidR="00BF32E2">
              <w:rPr>
                <w:noProof/>
                <w:webHidden/>
              </w:rPr>
              <w:instrText xml:space="preserve"> PAGEREF _Toc109639727 \h </w:instrText>
            </w:r>
            <w:r w:rsidR="00BF32E2">
              <w:rPr>
                <w:noProof/>
                <w:webHidden/>
              </w:rPr>
            </w:r>
            <w:r w:rsidR="00BF32E2">
              <w:rPr>
                <w:noProof/>
                <w:webHidden/>
              </w:rPr>
              <w:fldChar w:fldCharType="separate"/>
            </w:r>
            <w:r w:rsidR="00BF32E2">
              <w:rPr>
                <w:noProof/>
                <w:webHidden/>
              </w:rPr>
              <w:t>5</w:t>
            </w:r>
            <w:r w:rsidR="00BF32E2">
              <w:rPr>
                <w:noProof/>
                <w:webHidden/>
              </w:rPr>
              <w:fldChar w:fldCharType="end"/>
            </w:r>
          </w:hyperlink>
        </w:p>
        <w:p w14:paraId="56DE90F2" w14:textId="00BBDAD8" w:rsidR="00BF32E2" w:rsidRDefault="00000000">
          <w:pPr>
            <w:pStyle w:val="TOC1"/>
            <w:tabs>
              <w:tab w:val="left" w:pos="720"/>
              <w:tab w:val="right" w:leader="dot" w:pos="10790"/>
            </w:tabs>
            <w:rPr>
              <w:noProof/>
            </w:rPr>
          </w:pPr>
          <w:hyperlink w:anchor="_Toc109639728" w:history="1">
            <w:r w:rsidR="00BF32E2" w:rsidRPr="00F53421">
              <w:rPr>
                <w:rStyle w:val="Hyperlink"/>
                <w:noProof/>
              </w:rPr>
              <w:t>IV.</w:t>
            </w:r>
            <w:r w:rsidR="00BF32E2">
              <w:rPr>
                <w:noProof/>
              </w:rPr>
              <w:tab/>
            </w:r>
            <w:r w:rsidR="00BF32E2" w:rsidRPr="00F53421">
              <w:rPr>
                <w:rStyle w:val="Hyperlink"/>
                <w:noProof/>
              </w:rPr>
              <w:t>Customer Attit</w:t>
            </w:r>
            <w:r w:rsidR="00BF32E2" w:rsidRPr="00F53421">
              <w:rPr>
                <w:rStyle w:val="Hyperlink"/>
                <w:noProof/>
              </w:rPr>
              <w:t>u</w:t>
            </w:r>
            <w:r w:rsidR="00BF32E2" w:rsidRPr="00F53421">
              <w:rPr>
                <w:rStyle w:val="Hyperlink"/>
                <w:noProof/>
              </w:rPr>
              <w:t>des and Behaviors</w:t>
            </w:r>
            <w:r w:rsidR="00BF32E2">
              <w:rPr>
                <w:noProof/>
                <w:webHidden/>
              </w:rPr>
              <w:tab/>
            </w:r>
            <w:r w:rsidR="00BF32E2">
              <w:rPr>
                <w:noProof/>
                <w:webHidden/>
              </w:rPr>
              <w:fldChar w:fldCharType="begin"/>
            </w:r>
            <w:r w:rsidR="00BF32E2">
              <w:rPr>
                <w:noProof/>
                <w:webHidden/>
              </w:rPr>
              <w:instrText xml:space="preserve"> PAGEREF _Toc109639728 \h </w:instrText>
            </w:r>
            <w:r w:rsidR="00BF32E2">
              <w:rPr>
                <w:noProof/>
                <w:webHidden/>
              </w:rPr>
            </w:r>
            <w:r w:rsidR="00BF32E2">
              <w:rPr>
                <w:noProof/>
                <w:webHidden/>
              </w:rPr>
              <w:fldChar w:fldCharType="separate"/>
            </w:r>
            <w:r w:rsidR="00BF32E2">
              <w:rPr>
                <w:noProof/>
                <w:webHidden/>
              </w:rPr>
              <w:t>5</w:t>
            </w:r>
            <w:r w:rsidR="00BF32E2">
              <w:rPr>
                <w:noProof/>
                <w:webHidden/>
              </w:rPr>
              <w:fldChar w:fldCharType="end"/>
            </w:r>
          </w:hyperlink>
        </w:p>
        <w:p w14:paraId="336B7A7E" w14:textId="3DA386B9" w:rsidR="00BF32E2" w:rsidRDefault="00000000">
          <w:pPr>
            <w:pStyle w:val="TOC3"/>
            <w:tabs>
              <w:tab w:val="right" w:leader="dot" w:pos="10790"/>
            </w:tabs>
            <w:rPr>
              <w:noProof/>
            </w:rPr>
          </w:pPr>
          <w:hyperlink w:anchor="_Toc109639729" w:history="1">
            <w:r w:rsidR="00BF32E2" w:rsidRPr="00F53421">
              <w:rPr>
                <w:rStyle w:val="Hyperlink"/>
                <w:noProof/>
              </w:rPr>
              <w:t>Customer Attitudes toward Double Up</w:t>
            </w:r>
            <w:r w:rsidR="00BF32E2">
              <w:rPr>
                <w:noProof/>
                <w:webHidden/>
              </w:rPr>
              <w:tab/>
            </w:r>
            <w:r w:rsidR="00BF32E2">
              <w:rPr>
                <w:noProof/>
                <w:webHidden/>
              </w:rPr>
              <w:fldChar w:fldCharType="begin"/>
            </w:r>
            <w:r w:rsidR="00BF32E2">
              <w:rPr>
                <w:noProof/>
                <w:webHidden/>
              </w:rPr>
              <w:instrText xml:space="preserve"> PAGEREF _Toc109639729 \h </w:instrText>
            </w:r>
            <w:r w:rsidR="00BF32E2">
              <w:rPr>
                <w:noProof/>
                <w:webHidden/>
              </w:rPr>
            </w:r>
            <w:r w:rsidR="00BF32E2">
              <w:rPr>
                <w:noProof/>
                <w:webHidden/>
              </w:rPr>
              <w:fldChar w:fldCharType="separate"/>
            </w:r>
            <w:r w:rsidR="00BF32E2">
              <w:rPr>
                <w:noProof/>
                <w:webHidden/>
              </w:rPr>
              <w:t>5</w:t>
            </w:r>
            <w:r w:rsidR="00BF32E2">
              <w:rPr>
                <w:noProof/>
                <w:webHidden/>
              </w:rPr>
              <w:fldChar w:fldCharType="end"/>
            </w:r>
          </w:hyperlink>
        </w:p>
        <w:p w14:paraId="3D4700CD" w14:textId="1DDDA633" w:rsidR="00BF32E2" w:rsidRDefault="00000000">
          <w:pPr>
            <w:pStyle w:val="TOC3"/>
            <w:tabs>
              <w:tab w:val="right" w:leader="dot" w:pos="10790"/>
            </w:tabs>
            <w:rPr>
              <w:noProof/>
            </w:rPr>
          </w:pPr>
          <w:hyperlink w:anchor="_Toc109639730" w:history="1">
            <w:r w:rsidR="00BF32E2" w:rsidRPr="00F53421">
              <w:rPr>
                <w:rStyle w:val="Hyperlink"/>
                <w:noProof/>
              </w:rPr>
              <w:t>Changes in Behavior from Double Up</w:t>
            </w:r>
            <w:r w:rsidR="00BF32E2">
              <w:rPr>
                <w:noProof/>
                <w:webHidden/>
              </w:rPr>
              <w:tab/>
            </w:r>
            <w:r w:rsidR="00BF32E2">
              <w:rPr>
                <w:noProof/>
                <w:webHidden/>
              </w:rPr>
              <w:fldChar w:fldCharType="begin"/>
            </w:r>
            <w:r w:rsidR="00BF32E2">
              <w:rPr>
                <w:noProof/>
                <w:webHidden/>
              </w:rPr>
              <w:instrText xml:space="preserve"> PAGEREF _Toc109639730 \h </w:instrText>
            </w:r>
            <w:r w:rsidR="00BF32E2">
              <w:rPr>
                <w:noProof/>
                <w:webHidden/>
              </w:rPr>
            </w:r>
            <w:r w:rsidR="00BF32E2">
              <w:rPr>
                <w:noProof/>
                <w:webHidden/>
              </w:rPr>
              <w:fldChar w:fldCharType="separate"/>
            </w:r>
            <w:r w:rsidR="00BF32E2">
              <w:rPr>
                <w:noProof/>
                <w:webHidden/>
              </w:rPr>
              <w:t>6</w:t>
            </w:r>
            <w:r w:rsidR="00BF32E2">
              <w:rPr>
                <w:noProof/>
                <w:webHidden/>
              </w:rPr>
              <w:fldChar w:fldCharType="end"/>
            </w:r>
          </w:hyperlink>
        </w:p>
        <w:p w14:paraId="67F687D2" w14:textId="793DEC7C" w:rsidR="00BF32E2" w:rsidRDefault="00000000">
          <w:pPr>
            <w:pStyle w:val="TOC1"/>
            <w:tabs>
              <w:tab w:val="left" w:pos="480"/>
              <w:tab w:val="right" w:leader="dot" w:pos="10790"/>
            </w:tabs>
            <w:rPr>
              <w:noProof/>
            </w:rPr>
          </w:pPr>
          <w:hyperlink w:anchor="_Toc109639731" w:history="1">
            <w:r w:rsidR="00BF32E2" w:rsidRPr="000119A2">
              <w:rPr>
                <w:rStyle w:val="Hyperlink"/>
                <w:noProof/>
              </w:rPr>
              <w:t>V.</w:t>
            </w:r>
            <w:r w:rsidR="00BF32E2" w:rsidRPr="000119A2">
              <w:rPr>
                <w:noProof/>
              </w:rPr>
              <w:tab/>
            </w:r>
            <w:r w:rsidR="00BF32E2" w:rsidRPr="000119A2">
              <w:rPr>
                <w:rStyle w:val="Hyperlink"/>
                <w:noProof/>
              </w:rPr>
              <w:t>Findings &amp; Conclusion</w:t>
            </w:r>
            <w:r w:rsidR="00BF32E2" w:rsidRPr="000119A2">
              <w:rPr>
                <w:noProof/>
                <w:webHidden/>
              </w:rPr>
              <w:tab/>
            </w:r>
            <w:r w:rsidR="00BF32E2" w:rsidRPr="000119A2">
              <w:rPr>
                <w:noProof/>
                <w:webHidden/>
              </w:rPr>
              <w:fldChar w:fldCharType="begin"/>
            </w:r>
            <w:r w:rsidR="00BF32E2" w:rsidRPr="000119A2">
              <w:rPr>
                <w:noProof/>
                <w:webHidden/>
              </w:rPr>
              <w:instrText xml:space="preserve"> PAGEREF _Toc109639731 \h </w:instrText>
            </w:r>
            <w:r w:rsidR="00BF32E2" w:rsidRPr="000119A2">
              <w:rPr>
                <w:noProof/>
                <w:webHidden/>
              </w:rPr>
            </w:r>
            <w:r w:rsidR="00BF32E2" w:rsidRPr="000119A2">
              <w:rPr>
                <w:noProof/>
                <w:webHidden/>
              </w:rPr>
              <w:fldChar w:fldCharType="separate"/>
            </w:r>
            <w:r w:rsidR="00BF32E2" w:rsidRPr="000119A2">
              <w:rPr>
                <w:noProof/>
                <w:webHidden/>
              </w:rPr>
              <w:t>6</w:t>
            </w:r>
            <w:r w:rsidR="00BF32E2" w:rsidRPr="000119A2">
              <w:rPr>
                <w:noProof/>
                <w:webHidden/>
              </w:rPr>
              <w:fldChar w:fldCharType="end"/>
            </w:r>
          </w:hyperlink>
        </w:p>
        <w:p w14:paraId="77C56AD6" w14:textId="1C0C7E26" w:rsidR="00BF32E2" w:rsidRDefault="00000000">
          <w:pPr>
            <w:pStyle w:val="TOC1"/>
            <w:tabs>
              <w:tab w:val="left" w:pos="720"/>
              <w:tab w:val="right" w:leader="dot" w:pos="10790"/>
            </w:tabs>
            <w:rPr>
              <w:noProof/>
            </w:rPr>
          </w:pPr>
          <w:hyperlink w:anchor="_Toc109639732" w:history="1">
            <w:r w:rsidR="00BF32E2" w:rsidRPr="00F53421">
              <w:rPr>
                <w:rStyle w:val="Hyperlink"/>
                <w:noProof/>
              </w:rPr>
              <w:t>VI.</w:t>
            </w:r>
            <w:r w:rsidR="00BF32E2">
              <w:rPr>
                <w:noProof/>
              </w:rPr>
              <w:tab/>
            </w:r>
            <w:r w:rsidR="00BF32E2" w:rsidRPr="00F53421">
              <w:rPr>
                <w:rStyle w:val="Hyperlink"/>
                <w:noProof/>
              </w:rPr>
              <w:t>References</w:t>
            </w:r>
            <w:r w:rsidR="00BF32E2">
              <w:rPr>
                <w:noProof/>
                <w:webHidden/>
              </w:rPr>
              <w:tab/>
            </w:r>
            <w:r w:rsidR="00BF32E2">
              <w:rPr>
                <w:noProof/>
                <w:webHidden/>
              </w:rPr>
              <w:fldChar w:fldCharType="begin"/>
            </w:r>
            <w:r w:rsidR="00BF32E2">
              <w:rPr>
                <w:noProof/>
                <w:webHidden/>
              </w:rPr>
              <w:instrText xml:space="preserve"> PAGEREF _Toc109639732 \h </w:instrText>
            </w:r>
            <w:r w:rsidR="00BF32E2">
              <w:rPr>
                <w:noProof/>
                <w:webHidden/>
              </w:rPr>
            </w:r>
            <w:r w:rsidR="00BF32E2">
              <w:rPr>
                <w:noProof/>
                <w:webHidden/>
              </w:rPr>
              <w:fldChar w:fldCharType="separate"/>
            </w:r>
            <w:r w:rsidR="00BF32E2">
              <w:rPr>
                <w:noProof/>
                <w:webHidden/>
              </w:rPr>
              <w:t>6</w:t>
            </w:r>
            <w:r w:rsidR="00BF32E2">
              <w:rPr>
                <w:noProof/>
                <w:webHidden/>
              </w:rPr>
              <w:fldChar w:fldCharType="end"/>
            </w:r>
          </w:hyperlink>
        </w:p>
        <w:p w14:paraId="63626A9F" w14:textId="6BA094FE" w:rsidR="0040686B" w:rsidRPr="003372B7" w:rsidRDefault="00010B43" w:rsidP="00FE005E">
          <w:r w:rsidRPr="003372B7">
            <w:rPr>
              <w:b/>
              <w:bCs/>
              <w:noProof/>
            </w:rPr>
            <w:fldChar w:fldCharType="end"/>
          </w:r>
        </w:p>
      </w:sdtContent>
    </w:sdt>
    <w:p w14:paraId="38663152" w14:textId="77777777" w:rsidR="00010B43" w:rsidRPr="003372B7" w:rsidRDefault="00010B43" w:rsidP="00010B43"/>
    <w:p w14:paraId="437EE1F1" w14:textId="77777777" w:rsidR="00010B43" w:rsidRPr="003372B7" w:rsidRDefault="00010B43" w:rsidP="00010B43"/>
    <w:p w14:paraId="00435CB1" w14:textId="77777777" w:rsidR="00FE005E" w:rsidRPr="003372B7" w:rsidRDefault="00FE005E" w:rsidP="00010B43"/>
    <w:p w14:paraId="07B7B6B0" w14:textId="4181D732" w:rsidR="001D6B95" w:rsidRPr="003372B7" w:rsidRDefault="003B6C6D" w:rsidP="001D6B95">
      <w:pPr>
        <w:rPr>
          <w:b/>
        </w:rPr>
      </w:pPr>
      <w:r w:rsidRPr="003372B7">
        <w:rPr>
          <w:b/>
        </w:rPr>
        <w:t>For more information on 20</w:t>
      </w:r>
      <w:r w:rsidR="00113545">
        <w:rPr>
          <w:b/>
        </w:rPr>
        <w:t>2</w:t>
      </w:r>
      <w:r w:rsidR="00B6283E">
        <w:rPr>
          <w:b/>
        </w:rPr>
        <w:t>3</w:t>
      </w:r>
      <w:r w:rsidRPr="003372B7">
        <w:rPr>
          <w:b/>
        </w:rPr>
        <w:t xml:space="preserve"> Double Up evaluation results, please refer to the other focused evaluation reports and Appendix A for all tables and figures referenced in this report.</w:t>
      </w:r>
    </w:p>
    <w:p w14:paraId="3F2FA784" w14:textId="128CF69F" w:rsidR="001D6B95" w:rsidRPr="003372B7" w:rsidRDefault="00962018" w:rsidP="001D6B95">
      <w:pPr>
        <w:pStyle w:val="ListParagraph"/>
        <w:numPr>
          <w:ilvl w:val="0"/>
          <w:numId w:val="7"/>
        </w:numPr>
        <w:rPr>
          <w:b/>
        </w:rPr>
      </w:pPr>
      <w:r>
        <w:rPr>
          <w:b/>
        </w:rPr>
        <w:t>Full Report</w:t>
      </w:r>
      <w:r w:rsidR="001D6B95" w:rsidRPr="003372B7">
        <w:rPr>
          <w:b/>
        </w:rPr>
        <w:t xml:space="preserve"> </w:t>
      </w:r>
      <w:r w:rsidR="001D6B95" w:rsidRPr="003372B7">
        <w:rPr>
          <w:b/>
          <w:i/>
        </w:rPr>
        <w:t>(this document)</w:t>
      </w:r>
    </w:p>
    <w:p w14:paraId="04FCED32" w14:textId="3B3AB776" w:rsidR="00FE005E" w:rsidRPr="003372B7" w:rsidRDefault="001D6B95" w:rsidP="00010B43">
      <w:pPr>
        <w:pStyle w:val="ListParagraph"/>
        <w:numPr>
          <w:ilvl w:val="0"/>
          <w:numId w:val="7"/>
        </w:numPr>
        <w:rPr>
          <w:b/>
        </w:rPr>
      </w:pPr>
      <w:r w:rsidRPr="003372B7">
        <w:rPr>
          <w:b/>
        </w:rPr>
        <w:t>Appendix A: Tables and Figures</w:t>
      </w:r>
    </w:p>
    <w:p w14:paraId="163BD7DF" w14:textId="53300C16" w:rsidR="00FE005E" w:rsidRPr="003372B7" w:rsidRDefault="001D6B95" w:rsidP="00010B43">
      <w:r w:rsidRPr="003372B7">
        <w:br w:type="page"/>
      </w:r>
    </w:p>
    <w:p w14:paraId="11AA1013" w14:textId="476EBC01" w:rsidR="00962018" w:rsidRPr="00962018" w:rsidRDefault="00962018" w:rsidP="00962018">
      <w:pPr>
        <w:pStyle w:val="Heading1"/>
        <w:numPr>
          <w:ilvl w:val="0"/>
          <w:numId w:val="0"/>
        </w:numPr>
        <w:ind w:left="360" w:hanging="360"/>
        <w:rPr>
          <w:i/>
          <w:iCs/>
        </w:rPr>
      </w:pPr>
      <w:bookmarkStart w:id="1" w:name="_Toc109639721"/>
      <w:bookmarkEnd w:id="0"/>
      <w:r w:rsidRPr="00962018">
        <w:rPr>
          <w:i/>
          <w:iCs/>
        </w:rPr>
        <w:lastRenderedPageBreak/>
        <w:t xml:space="preserve">Impact on SNAP Recipients </w:t>
      </w:r>
    </w:p>
    <w:p w14:paraId="5EFC087A" w14:textId="44DDF26D" w:rsidR="00131F0F" w:rsidRPr="003372B7" w:rsidRDefault="00DD057C" w:rsidP="00C63C5C">
      <w:pPr>
        <w:pStyle w:val="Heading1"/>
        <w:ind w:left="720" w:hanging="720"/>
      </w:pPr>
      <w:r w:rsidRPr="003372B7">
        <w:t>Introduction</w:t>
      </w:r>
      <w:bookmarkEnd w:id="1"/>
    </w:p>
    <w:p w14:paraId="399A31D1" w14:textId="62EA9DEC" w:rsidR="00CC66DE" w:rsidRPr="003372B7" w:rsidRDefault="00B1168A" w:rsidP="00DD057C">
      <w:r w:rsidRPr="003372B7">
        <w:t xml:space="preserve">One of the primary goals of </w:t>
      </w:r>
      <w:r w:rsidR="002E6A3F">
        <w:t>Nourish</w:t>
      </w:r>
      <w:r w:rsidR="001D6B95" w:rsidRPr="003372B7">
        <w:t xml:space="preserve"> Colorado’s </w:t>
      </w:r>
      <w:r w:rsidRPr="003372B7">
        <w:t xml:space="preserve">Double Up Food Bucks </w:t>
      </w:r>
      <w:r w:rsidR="001D6B95" w:rsidRPr="003372B7">
        <w:t>(Double Up)</w:t>
      </w:r>
      <w:r w:rsidR="00521455">
        <w:t xml:space="preserve"> Program</w:t>
      </w:r>
      <w:r w:rsidR="001D6B95" w:rsidRPr="003372B7">
        <w:t xml:space="preserve"> </w:t>
      </w:r>
      <w:r w:rsidRPr="003372B7">
        <w:t xml:space="preserve">is to increase the fruit and vegetable </w:t>
      </w:r>
      <w:r w:rsidR="00602DD6" w:rsidRPr="003372B7">
        <w:t xml:space="preserve">consumption </w:t>
      </w:r>
      <w:r w:rsidR="006E6D1E">
        <w:t>of</w:t>
      </w:r>
      <w:r w:rsidRPr="003372B7">
        <w:t xml:space="preserve"> </w:t>
      </w:r>
      <w:r w:rsidR="001D6B95" w:rsidRPr="003372B7">
        <w:t>Supplemental Nutrition Assistance Program (</w:t>
      </w:r>
      <w:r w:rsidRPr="003372B7">
        <w:t>SNAP</w:t>
      </w:r>
      <w:r w:rsidR="001D6B95" w:rsidRPr="003372B7">
        <w:t>)</w:t>
      </w:r>
      <w:r w:rsidRPr="003372B7">
        <w:t xml:space="preserve"> </w:t>
      </w:r>
      <w:r w:rsidR="00CC66DE" w:rsidRPr="003372B7">
        <w:t>recipients</w:t>
      </w:r>
      <w:r w:rsidRPr="003372B7">
        <w:t xml:space="preserve"> in Colorado. The program</w:t>
      </w:r>
      <w:r w:rsidR="006E6D1E">
        <w:t xml:space="preserve"> </w:t>
      </w:r>
      <w:r w:rsidR="00AC4A3E" w:rsidRPr="003372B7">
        <w:t xml:space="preserve">matches </w:t>
      </w:r>
      <w:r w:rsidR="00971AC2">
        <w:t xml:space="preserve">up to $20 of </w:t>
      </w:r>
      <w:r w:rsidR="00AC4A3E" w:rsidRPr="003372B7">
        <w:t>SNAP recipients</w:t>
      </w:r>
      <w:r w:rsidR="002A666B" w:rsidRPr="003372B7">
        <w:t>’</w:t>
      </w:r>
      <w:r w:rsidR="00AC4A3E" w:rsidRPr="003372B7">
        <w:t xml:space="preserve"> purchases</w:t>
      </w:r>
      <w:r w:rsidR="00971AC2">
        <w:t xml:space="preserve"> of </w:t>
      </w:r>
      <w:r w:rsidR="002A666B" w:rsidRPr="003372B7">
        <w:t>Colorado-grown fresh fruits and vegetables</w:t>
      </w:r>
      <w:r w:rsidR="00AC4A3E" w:rsidRPr="003372B7">
        <w:t xml:space="preserve">, every time they visit a participating </w:t>
      </w:r>
      <w:r w:rsidR="00602DD6" w:rsidRPr="003372B7">
        <w:t xml:space="preserve">Double Up </w:t>
      </w:r>
      <w:r w:rsidR="00AC4A3E" w:rsidRPr="003372B7">
        <w:t>locatio</w:t>
      </w:r>
      <w:r w:rsidR="0084521A">
        <w:t>n. T</w:t>
      </w:r>
      <w:r w:rsidR="00CC66DE" w:rsidRPr="003372B7">
        <w:t>his report</w:t>
      </w:r>
      <w:r w:rsidR="00602DD6" w:rsidRPr="003372B7">
        <w:t xml:space="preserve"> </w:t>
      </w:r>
      <w:r w:rsidR="00CC66DE" w:rsidRPr="003372B7">
        <w:t>provide</w:t>
      </w:r>
      <w:r w:rsidR="00971AC2">
        <w:t>s</w:t>
      </w:r>
      <w:r w:rsidR="00CC66DE" w:rsidRPr="003372B7">
        <w:t xml:space="preserve"> a </w:t>
      </w:r>
      <w:r w:rsidR="002E6A3F">
        <w:t>summary of Double Up customers’</w:t>
      </w:r>
      <w:r w:rsidR="00CC66DE" w:rsidRPr="003372B7">
        <w:t xml:space="preserve"> </w:t>
      </w:r>
      <w:r w:rsidR="002E6A3F">
        <w:t>participation</w:t>
      </w:r>
      <w:r w:rsidR="00CC66DE" w:rsidRPr="003372B7">
        <w:t xml:space="preserve"> </w:t>
      </w:r>
      <w:r w:rsidR="002E6A3F">
        <w:t>in</w:t>
      </w:r>
      <w:r w:rsidR="00CC66DE" w:rsidRPr="003372B7">
        <w:t xml:space="preserve"> the program</w:t>
      </w:r>
      <w:r w:rsidR="002E6A3F">
        <w:t xml:space="preserve"> and</w:t>
      </w:r>
      <w:r w:rsidR="001D6B95" w:rsidRPr="003372B7">
        <w:t xml:space="preserve"> w</w:t>
      </w:r>
      <w:r w:rsidR="002E6A3F">
        <w:t>i</w:t>
      </w:r>
      <w:r w:rsidR="001D6B95" w:rsidRPr="003372B7">
        <w:t>ll</w:t>
      </w:r>
      <w:r w:rsidR="00CC66DE" w:rsidRPr="003372B7">
        <w:t xml:space="preserve"> take a deeper look at t</w:t>
      </w:r>
      <w:r w:rsidR="00687283" w:rsidRPr="003372B7">
        <w:t xml:space="preserve">he </w:t>
      </w:r>
      <w:r w:rsidR="006E6D1E">
        <w:t>feedback collected from participants on perceptions and attitudes about the program and its impact on consumption patterns over time</w:t>
      </w:r>
      <w:r w:rsidR="00CC66DE" w:rsidRPr="003372B7">
        <w:t xml:space="preserve">. </w:t>
      </w:r>
    </w:p>
    <w:p w14:paraId="772DBD0F" w14:textId="2413FE2F" w:rsidR="006A78D9" w:rsidRPr="003372B7" w:rsidRDefault="006A78D9" w:rsidP="00DD057C">
      <w:proofErr w:type="gramStart"/>
      <w:r w:rsidRPr="003372B7">
        <w:t>In order to</w:t>
      </w:r>
      <w:proofErr w:type="gramEnd"/>
      <w:r w:rsidRPr="003372B7">
        <w:t xml:space="preserve"> evaluate the impact on SNAP recipients, the 20</w:t>
      </w:r>
      <w:r w:rsidR="00E07150">
        <w:t>2</w:t>
      </w:r>
      <w:r w:rsidR="00C24A93">
        <w:t>3</w:t>
      </w:r>
      <w:r w:rsidRPr="003372B7">
        <w:t xml:space="preserve"> evaluation</w:t>
      </w:r>
      <w:r w:rsidR="0032229A" w:rsidRPr="003372B7">
        <w:t xml:space="preserve"> program</w:t>
      </w:r>
      <w:r w:rsidRPr="003372B7">
        <w:t xml:space="preserve"> used the following methods and tools</w:t>
      </w:r>
      <w:r w:rsidR="00521455">
        <w:t xml:space="preserve"> </w:t>
      </w:r>
      <w:r w:rsidR="00B5038B" w:rsidRPr="003372B7">
        <w:t>(Table 1: Evaluation Tools to Measure Program Reach and Impact)</w:t>
      </w:r>
      <w:r w:rsidR="00521455">
        <w:t>:</w:t>
      </w:r>
    </w:p>
    <w:p w14:paraId="5C59E9DD" w14:textId="510C8FAE" w:rsidR="006A78D9" w:rsidRPr="003372B7" w:rsidRDefault="006A78D9" w:rsidP="006A78D9">
      <w:pPr>
        <w:pStyle w:val="ListParagraph"/>
        <w:numPr>
          <w:ilvl w:val="0"/>
          <w:numId w:val="21"/>
        </w:numPr>
      </w:pPr>
      <w:r w:rsidRPr="003372B7">
        <w:rPr>
          <w:b/>
        </w:rPr>
        <w:t>Vendor Reports</w:t>
      </w:r>
      <w:r w:rsidRPr="003372B7">
        <w:t xml:space="preserve"> –</w:t>
      </w:r>
      <w:r w:rsidR="00990680" w:rsidRPr="003372B7">
        <w:t xml:space="preserve"> tracked</w:t>
      </w:r>
      <w:r w:rsidRPr="003372B7">
        <w:t xml:space="preserve"> Double Up and SNAP incentives </w:t>
      </w:r>
      <w:r w:rsidR="002A666B" w:rsidRPr="003372B7">
        <w:t>spent by customers</w:t>
      </w:r>
      <w:r w:rsidRPr="003372B7">
        <w:t xml:space="preserve"> at Double Up sites</w:t>
      </w:r>
    </w:p>
    <w:p w14:paraId="0DAE46A9" w14:textId="43F32AA2" w:rsidR="0084521A" w:rsidRPr="00F242E6" w:rsidRDefault="0084521A" w:rsidP="00DD057C">
      <w:pPr>
        <w:pStyle w:val="ListParagraph"/>
        <w:numPr>
          <w:ilvl w:val="0"/>
          <w:numId w:val="21"/>
        </w:numPr>
      </w:pPr>
      <w:r>
        <w:rPr>
          <w:b/>
        </w:rPr>
        <w:t xml:space="preserve">Customer Surveys </w:t>
      </w:r>
      <w:r>
        <w:rPr>
          <w:bCs/>
        </w:rPr>
        <w:t xml:space="preserve">– administered to customers </w:t>
      </w:r>
      <w:r w:rsidR="0009392D">
        <w:rPr>
          <w:bCs/>
        </w:rPr>
        <w:t>online via Qualtrics</w:t>
      </w:r>
      <w:r>
        <w:rPr>
          <w:bCs/>
        </w:rPr>
        <w:t xml:space="preserve">; collected information on </w:t>
      </w:r>
      <w:r w:rsidR="0089130C">
        <w:rPr>
          <w:bCs/>
        </w:rPr>
        <w:t>DUFB participation history</w:t>
      </w:r>
      <w:r>
        <w:rPr>
          <w:bCs/>
        </w:rPr>
        <w:t xml:space="preserve">, </w:t>
      </w:r>
      <w:r w:rsidR="0089130C">
        <w:rPr>
          <w:bCs/>
        </w:rPr>
        <w:t xml:space="preserve">consumption of various food groups, health, and </w:t>
      </w:r>
      <w:r>
        <w:rPr>
          <w:bCs/>
        </w:rPr>
        <w:t xml:space="preserve">demographics; collected </w:t>
      </w:r>
      <w:r w:rsidR="00D44F3A">
        <w:rPr>
          <w:bCs/>
        </w:rPr>
        <w:t>380</w:t>
      </w:r>
      <w:r>
        <w:rPr>
          <w:bCs/>
        </w:rPr>
        <w:t xml:space="preserve"> surveys in 202</w:t>
      </w:r>
      <w:r w:rsidR="00D44F3A">
        <w:rPr>
          <w:bCs/>
        </w:rPr>
        <w:t>3</w:t>
      </w:r>
    </w:p>
    <w:p w14:paraId="00AAB406" w14:textId="17794DFA" w:rsidR="00F242E6" w:rsidRPr="003372B7" w:rsidRDefault="00F242E6" w:rsidP="00DD057C">
      <w:pPr>
        <w:pStyle w:val="ListParagraph"/>
        <w:numPr>
          <w:ilvl w:val="0"/>
          <w:numId w:val="21"/>
        </w:numPr>
      </w:pPr>
      <w:r>
        <w:rPr>
          <w:b/>
        </w:rPr>
        <w:t xml:space="preserve">Analysis of Strategies </w:t>
      </w:r>
      <w:r>
        <w:rPr>
          <w:bCs/>
        </w:rPr>
        <w:t>– analysis of specific strategies by market</w:t>
      </w:r>
      <w:r w:rsidR="00AA2EDF">
        <w:rPr>
          <w:bCs/>
        </w:rPr>
        <w:t xml:space="preserve"> type</w:t>
      </w:r>
      <w:r>
        <w:rPr>
          <w:bCs/>
        </w:rPr>
        <w:t xml:space="preserve">, county, or region; analyzed data collected by other tools </w:t>
      </w:r>
    </w:p>
    <w:p w14:paraId="022E3998" w14:textId="23805A9A" w:rsidR="00DD057C" w:rsidRPr="003372B7" w:rsidRDefault="008A61A7" w:rsidP="00DD057C">
      <w:pPr>
        <w:pStyle w:val="Heading1"/>
        <w:ind w:left="720" w:hanging="720"/>
      </w:pPr>
      <w:bookmarkStart w:id="2" w:name="_Toc109639722"/>
      <w:r w:rsidRPr="003372B7">
        <w:t xml:space="preserve">Customer Interaction with </w:t>
      </w:r>
      <w:r w:rsidR="002B2031" w:rsidRPr="003372B7">
        <w:t>Double Up</w:t>
      </w:r>
      <w:bookmarkEnd w:id="2"/>
    </w:p>
    <w:p w14:paraId="2E70AEE6" w14:textId="73BE9CDD" w:rsidR="0030686B" w:rsidRPr="003372B7" w:rsidRDefault="008A61A7" w:rsidP="00434206">
      <w:pPr>
        <w:pStyle w:val="Heading3"/>
      </w:pPr>
      <w:bookmarkStart w:id="3" w:name="_Toc109639723"/>
      <w:r w:rsidRPr="003372B7">
        <w:t>Financial Impac</w:t>
      </w:r>
      <w:bookmarkEnd w:id="3"/>
      <w:r w:rsidR="000119A2">
        <w:t>t</w:t>
      </w:r>
    </w:p>
    <w:p w14:paraId="04201786" w14:textId="77777777" w:rsidR="00913A16" w:rsidRDefault="00687283" w:rsidP="00DD057C">
      <w:r w:rsidRPr="003372B7">
        <w:t xml:space="preserve">The Double Up program resulted in an </w:t>
      </w:r>
      <w:r w:rsidRPr="002D3900">
        <w:t xml:space="preserve">additional </w:t>
      </w:r>
      <w:r w:rsidR="004A2D69">
        <w:t>$</w:t>
      </w:r>
      <w:r w:rsidR="005463EB">
        <w:t>2,529,907</w:t>
      </w:r>
      <w:r w:rsidR="004A2D69">
        <w:t xml:space="preserve"> </w:t>
      </w:r>
      <w:r w:rsidRPr="002D3900">
        <w:t>being</w:t>
      </w:r>
      <w:r w:rsidRPr="003372B7">
        <w:t xml:space="preserve"> spent in 20</w:t>
      </w:r>
      <w:r w:rsidR="002E6A3F">
        <w:t>2</w:t>
      </w:r>
      <w:r w:rsidR="005463EB">
        <w:t>3</w:t>
      </w:r>
      <w:r w:rsidRPr="003372B7">
        <w:t xml:space="preserve"> on Colorado</w:t>
      </w:r>
      <w:r w:rsidR="0032229A" w:rsidRPr="003372B7">
        <w:t>-</w:t>
      </w:r>
      <w:r w:rsidRPr="003372B7">
        <w:t xml:space="preserve">grown fruits and vegetables by SNAP </w:t>
      </w:r>
      <w:r w:rsidR="00AC4A3E" w:rsidRPr="003372B7">
        <w:t xml:space="preserve">recipients </w:t>
      </w:r>
      <w:r w:rsidR="00983944">
        <w:t xml:space="preserve">(Table </w:t>
      </w:r>
      <w:r w:rsidR="00455D64">
        <w:t>2</w:t>
      </w:r>
      <w:r w:rsidR="00E55FE1" w:rsidRPr="003372B7">
        <w:t>: Incentives Redeemed (Spent) by Year</w:t>
      </w:r>
      <w:r w:rsidR="00983944">
        <w:t>)</w:t>
      </w:r>
      <w:r w:rsidRPr="003372B7">
        <w:t xml:space="preserve">. </w:t>
      </w:r>
      <w:r w:rsidR="00455D64">
        <w:t>Table 2 in Appendix A present</w:t>
      </w:r>
      <w:r w:rsidR="008F0382">
        <w:t>s</w:t>
      </w:r>
      <w:r w:rsidR="00455D64">
        <w:t xml:space="preserve"> the SNAP, Double Up, and total incentives redeemed by customers, according to vendor reports. </w:t>
      </w:r>
      <w:r w:rsidR="0074193C">
        <w:t>In 202</w:t>
      </w:r>
      <w:r w:rsidR="005463EB">
        <w:t>3</w:t>
      </w:r>
      <w:r w:rsidR="00E062B9" w:rsidRPr="003372B7">
        <w:t xml:space="preserve">, </w:t>
      </w:r>
      <w:r w:rsidR="00AD1B7D">
        <w:t>$</w:t>
      </w:r>
      <w:r w:rsidR="00913A16">
        <w:t>1,601,625</w:t>
      </w:r>
      <w:r w:rsidR="0068358A">
        <w:t xml:space="preserve"> in</w:t>
      </w:r>
      <w:r w:rsidR="008A61A7" w:rsidRPr="003372B7">
        <w:t xml:space="preserve"> </w:t>
      </w:r>
      <w:r w:rsidR="00913A16">
        <w:t>SNAP</w:t>
      </w:r>
      <w:r w:rsidR="008A61A7" w:rsidRPr="003372B7">
        <w:t xml:space="preserve"> vouchers were distributed to </w:t>
      </w:r>
      <w:r w:rsidR="00AC4A3E" w:rsidRPr="003372B7">
        <w:t>participants</w:t>
      </w:r>
      <w:r w:rsidR="008A61A7" w:rsidRPr="003372B7">
        <w:t>, a</w:t>
      </w:r>
      <w:r w:rsidR="00913A16">
        <w:t>n</w:t>
      </w:r>
      <w:r w:rsidR="00AD1B7D">
        <w:t xml:space="preserve"> </w:t>
      </w:r>
      <w:r w:rsidR="00913A16">
        <w:t>81</w:t>
      </w:r>
      <w:r w:rsidR="00AD1B7D">
        <w:t>%</w:t>
      </w:r>
      <w:r w:rsidR="008A61A7" w:rsidRPr="003372B7">
        <w:t xml:space="preserve"> increase from 20</w:t>
      </w:r>
      <w:r w:rsidR="0038782F">
        <w:t>2</w:t>
      </w:r>
      <w:r w:rsidR="00913A16">
        <w:t>1</w:t>
      </w:r>
      <w:r w:rsidR="008A61A7" w:rsidRPr="003372B7">
        <w:t>, and</w:t>
      </w:r>
      <w:r w:rsidR="00AD1B7D">
        <w:t xml:space="preserve"> $</w:t>
      </w:r>
      <w:r w:rsidR="00913A16">
        <w:t>1,201,520</w:t>
      </w:r>
      <w:r w:rsidR="00446D14">
        <w:t xml:space="preserve"> </w:t>
      </w:r>
      <w:r w:rsidR="0068358A">
        <w:t xml:space="preserve">in </w:t>
      </w:r>
      <w:r w:rsidR="00913A16">
        <w:t>DUFB</w:t>
      </w:r>
      <w:r w:rsidR="008A61A7" w:rsidRPr="003372B7">
        <w:t xml:space="preserve"> vouchers were distributed, </w:t>
      </w:r>
      <w:r w:rsidR="00D54E6E">
        <w:t>a</w:t>
      </w:r>
      <w:r w:rsidR="00AD1B7D">
        <w:t xml:space="preserve"> </w:t>
      </w:r>
      <w:r w:rsidR="00913A16">
        <w:t>59</w:t>
      </w:r>
      <w:r w:rsidR="00AD1B7D">
        <w:t>%</w:t>
      </w:r>
      <w:r w:rsidR="001F6BB9" w:rsidRPr="003372B7">
        <w:t xml:space="preserve"> </w:t>
      </w:r>
      <w:r w:rsidR="00D54E6E">
        <w:t xml:space="preserve">increase </w:t>
      </w:r>
      <w:r w:rsidR="001F6BB9" w:rsidRPr="003372B7">
        <w:t>from 20</w:t>
      </w:r>
      <w:r w:rsidR="00497DE7">
        <w:t>2</w:t>
      </w:r>
      <w:r w:rsidR="00913A16">
        <w:t>1</w:t>
      </w:r>
      <w:r w:rsidR="001F6BB9" w:rsidRPr="003372B7">
        <w:t xml:space="preserve"> (Table 3: Incentives Distributed by Year</w:t>
      </w:r>
      <w:r w:rsidR="008A61A7" w:rsidRPr="003372B7">
        <w:t xml:space="preserve">). </w:t>
      </w:r>
    </w:p>
    <w:p w14:paraId="1C3BCE54" w14:textId="735EE677" w:rsidR="00913A16" w:rsidRDefault="00913A16" w:rsidP="00DD057C">
      <w:r>
        <w:t>The Double Up program continues to expand every year, which is especially notable in 2023 due to the decrease in SNAP distributions that occurred after the COVID pandemic ended. For example, in Colorado, Pandemic-EBT benefits ceased in mid-July of 2023.</w:t>
      </w:r>
      <w:r w:rsidR="005E1D6A">
        <w:t xml:space="preserve"> </w:t>
      </w:r>
      <w:r>
        <w:t xml:space="preserve">Interestingly, SNAP Distributions (and redemptions) at vendors participating in the Double Up program peaked in September and October of 2023 (Figure 1). This may have been due to a rollover effect; since SNAP benefits rollover to the next month, it is possible that SNAP some SNAP participants had accumulated benefits and wanted to spend them before the end of the market season. On the other hand, distribution and redemption of Double Up Bucks peaked in July-September (Figure 2). The discrepancy between the peaks of Double Up and SNAP may be attributed to product availability, as fewer fresh fruits and vegetables are available at farmers markets in October compared to July. </w:t>
      </w:r>
    </w:p>
    <w:p w14:paraId="38333C90" w14:textId="5F516F3C" w:rsidR="00913A16" w:rsidRDefault="00913A16" w:rsidP="00913A16">
      <w:r>
        <w:t>Most often,</w:t>
      </w:r>
      <w:r w:rsidRPr="003372B7">
        <w:t xml:space="preserve"> customers receive their vouchers at a </w:t>
      </w:r>
      <w:r>
        <w:t xml:space="preserve">farmers </w:t>
      </w:r>
      <w:r w:rsidRPr="003372B7">
        <w:t xml:space="preserve">market booth and then </w:t>
      </w:r>
      <w:r>
        <w:t xml:space="preserve">redeem the vouchers with a </w:t>
      </w:r>
      <w:r w:rsidRPr="003372B7">
        <w:t>vendor</w:t>
      </w:r>
      <w:r>
        <w:t xml:space="preserve"> that sells </w:t>
      </w:r>
      <w:r w:rsidRPr="003372B7">
        <w:t xml:space="preserve">Colorado-grown </w:t>
      </w:r>
      <w:r>
        <w:t xml:space="preserve">fresh </w:t>
      </w:r>
      <w:r w:rsidRPr="003372B7">
        <w:t>fruits and vegetables</w:t>
      </w:r>
      <w:r>
        <w:t>.</w:t>
      </w:r>
      <w:r w:rsidRPr="003372B7">
        <w:t xml:space="preserve"> In 20</w:t>
      </w:r>
      <w:r>
        <w:t>2</w:t>
      </w:r>
      <w:r>
        <w:t>3</w:t>
      </w:r>
      <w:r w:rsidRPr="003372B7">
        <w:t>, customers redeemed</w:t>
      </w:r>
      <w:r>
        <w:t xml:space="preserve"> $</w:t>
      </w:r>
      <w:r>
        <w:t>885,022</w:t>
      </w:r>
      <w:r w:rsidRPr="003372B7">
        <w:t xml:space="preserve"> in Double Up incentives, an increase of </w:t>
      </w:r>
      <w:r>
        <w:t>83</w:t>
      </w:r>
      <w:r>
        <w:t>%</w:t>
      </w:r>
      <w:r w:rsidRPr="003372B7">
        <w:t xml:space="preserve"> from 20</w:t>
      </w:r>
      <w:r>
        <w:t>2</w:t>
      </w:r>
      <w:r>
        <w:t>2</w:t>
      </w:r>
      <w:r w:rsidRPr="003372B7">
        <w:t>, and</w:t>
      </w:r>
      <w:r>
        <w:t xml:space="preserve"> $</w:t>
      </w:r>
      <w:r>
        <w:t>1,674,885</w:t>
      </w:r>
      <w:r>
        <w:t xml:space="preserve"> </w:t>
      </w:r>
      <w:r w:rsidRPr="003372B7">
        <w:t xml:space="preserve">in SNAP incentives, an increase of </w:t>
      </w:r>
      <w:r>
        <w:t>89</w:t>
      </w:r>
      <w:r>
        <w:t>%</w:t>
      </w:r>
      <w:r w:rsidRPr="003372B7">
        <w:t xml:space="preserve"> from </w:t>
      </w:r>
      <w:r>
        <w:t>2021</w:t>
      </w:r>
      <w:r w:rsidRPr="003372B7">
        <w:t xml:space="preserve"> (Table 2: Incentives Redeemed (Spent) by Year). The amount</w:t>
      </w:r>
      <w:r>
        <w:t xml:space="preserve"> of Double Up Bucks</w:t>
      </w:r>
      <w:r w:rsidRPr="003372B7">
        <w:t xml:space="preserve"> redeemed is </w:t>
      </w:r>
      <w:r>
        <w:t xml:space="preserve">the dollar value of </w:t>
      </w:r>
      <w:r w:rsidRPr="003372B7">
        <w:t>what customers actually spen</w:t>
      </w:r>
      <w:r>
        <w:t>t</w:t>
      </w:r>
      <w:r w:rsidRPr="003372B7">
        <w:t xml:space="preserve"> on </w:t>
      </w:r>
      <w:r>
        <w:t>l</w:t>
      </w:r>
      <w:r w:rsidRPr="003372B7">
        <w:t xml:space="preserve">ocal fruits and vegetables at the Double Up site. The difference between distributed and redeemed Double Up vouchers is the value of vouchers </w:t>
      </w:r>
      <w:r>
        <w:t xml:space="preserve">redeemed, but </w:t>
      </w:r>
      <w:r w:rsidRPr="003372B7">
        <w:t xml:space="preserve">never spent by customers. </w:t>
      </w:r>
      <w:r>
        <w:t xml:space="preserve">The </w:t>
      </w:r>
      <w:r>
        <w:t>percen</w:t>
      </w:r>
      <w:r>
        <w:t>t</w:t>
      </w:r>
      <w:r>
        <w:t xml:space="preserve"> of Double Up vouchers</w:t>
      </w:r>
      <w:r>
        <w:t xml:space="preserve"> distributed but </w:t>
      </w:r>
      <w:r>
        <w:lastRenderedPageBreak/>
        <w:t xml:space="preserve">never redeemed </w:t>
      </w:r>
      <w:r>
        <w:t xml:space="preserve">decreased from 2021; around 71% of Double Up Bucks were redeemed, which is up from 61.7% in </w:t>
      </w:r>
      <w:proofErr w:type="gramStart"/>
      <w:r>
        <w:t xml:space="preserve">2021 </w:t>
      </w:r>
      <w:r>
        <w:t xml:space="preserve"> </w:t>
      </w:r>
      <w:r w:rsidRPr="003372B7">
        <w:t>(</w:t>
      </w:r>
      <w:proofErr w:type="gramEnd"/>
      <w:r w:rsidRPr="003372B7">
        <w:t>Table 1</w:t>
      </w:r>
      <w:r>
        <w:t>1</w:t>
      </w:r>
      <w:r w:rsidRPr="003372B7">
        <w:t xml:space="preserve">: Percent of Distributed Incentives Redeemed Each Year). </w:t>
      </w:r>
      <w:r>
        <w:t xml:space="preserve">This is an encouraging reversal of a pattern; the percent of redeemed double up bucks had decreased every year since </w:t>
      </w:r>
      <w:proofErr w:type="gramStart"/>
      <w:r>
        <w:t>2017, but</w:t>
      </w:r>
      <w:proofErr w:type="gramEnd"/>
      <w:r>
        <w:t xml:space="preserve"> increased from 2021 to 2023. </w:t>
      </w:r>
    </w:p>
    <w:p w14:paraId="520BC1CF" w14:textId="1552BAA8" w:rsidR="00913A16" w:rsidRDefault="00913A16" w:rsidP="00DD057C">
      <w:r>
        <w:t>The</w:t>
      </w:r>
      <w:r>
        <w:t xml:space="preserve"> decrease</w:t>
      </w:r>
      <w:r>
        <w:t xml:space="preserve"> in the percent of Double Up vouchers distributed but not redeemed might again be explained by the</w:t>
      </w:r>
      <w:r>
        <w:t xml:space="preserve"> decrease in</w:t>
      </w:r>
      <w:r>
        <w:t xml:space="preserve"> emergency food assistance funds </w:t>
      </w:r>
      <w:r>
        <w:t>that occurred since the end of the pandemic</w:t>
      </w:r>
      <w:r>
        <w:t>. A</w:t>
      </w:r>
      <w:r>
        <w:t xml:space="preserve"> decrease </w:t>
      </w:r>
      <w:r>
        <w:t xml:space="preserve">in food spending money </w:t>
      </w:r>
      <w:r>
        <w:t>might imply that SNAP participants are more dependent on the extra assistance that Double Up Bucks yield</w:t>
      </w:r>
      <w:r>
        <w:t>. Further, the growth in Double Up sites, from 81 in 2021</w:t>
      </w:r>
      <w:r>
        <w:t xml:space="preserve"> to 115 in 2023</w:t>
      </w:r>
      <w:r>
        <w:t xml:space="preserve">, might have increased accessibility to markets for some SNAP recipients that could not previously get to sites. </w:t>
      </w:r>
      <w:r>
        <w:t>The new audiences that are reached by this expansion may have had more limited access to fresh fruits and vegetables before the launching of the Double Up program at their preferred site</w:t>
      </w:r>
      <w:r>
        <w:t>.</w:t>
      </w:r>
    </w:p>
    <w:p w14:paraId="6CD66292" w14:textId="61A9F362" w:rsidR="00D557CA" w:rsidRPr="003372B7" w:rsidRDefault="00913A16" w:rsidP="00DD057C">
      <w:r>
        <w:t xml:space="preserve">In 2020, </w:t>
      </w:r>
      <w:r w:rsidR="000743B4">
        <w:t>Nourish</w:t>
      </w:r>
      <w:r>
        <w:t>/GUSNIP</w:t>
      </w:r>
      <w:r w:rsidR="00F860B4">
        <w:t xml:space="preserve"> </w:t>
      </w:r>
      <w:r w:rsidR="000743B4">
        <w:t xml:space="preserve">developed a new partnership with Save-A-Lot retail </w:t>
      </w:r>
      <w:r>
        <w:t>stores</w:t>
      </w:r>
      <w:r w:rsidR="000743B4">
        <w:t>, wh</w:t>
      </w:r>
      <w:r w:rsidR="00F860B4">
        <w:t>o</w:t>
      </w:r>
      <w:r w:rsidR="000743B4">
        <w:t xml:space="preserve"> </w:t>
      </w:r>
      <w:r>
        <w:t>then participated in the Double Up program</w:t>
      </w:r>
      <w:r w:rsidR="00B84DAB">
        <w:t xml:space="preserve">. </w:t>
      </w:r>
      <w:r>
        <w:t xml:space="preserve">Since then, this has led to a larger proportion of Double Up Bucks being distributed and redeemed at </w:t>
      </w:r>
      <w:proofErr w:type="gramStart"/>
      <w:r>
        <w:t>Brick and Mortar</w:t>
      </w:r>
      <w:proofErr w:type="gramEnd"/>
      <w:r>
        <w:t xml:space="preserve"> stores compared to “Farm Direct” outlets. </w:t>
      </w:r>
      <w:r w:rsidR="009442E9">
        <w:t xml:space="preserve"> </w:t>
      </w:r>
      <w:r>
        <w:t xml:space="preserve">In 2023, 79% of Double Up Bucks were distributed at </w:t>
      </w:r>
      <w:proofErr w:type="gramStart"/>
      <w:r>
        <w:t>Brick and Mortar</w:t>
      </w:r>
      <w:proofErr w:type="gramEnd"/>
      <w:r>
        <w:t xml:space="preserve"> outlets, which is substantially larger than the 21% of Double Up Bucks that were distributed at Farm Direct outlets. Figure 5 shows the monthly breakdown of redeemed Double Up Bucks by firm type. It is clear that in the months when farmers markets are not running, almost all of the redeemed Double Up Bucks occur at </w:t>
      </w:r>
      <w:proofErr w:type="gramStart"/>
      <w:r>
        <w:t>Brick and Mortar</w:t>
      </w:r>
      <w:proofErr w:type="gramEnd"/>
      <w:r>
        <w:t xml:space="preserve"> stores. On the other hand, the redemption of Double Up Bucks is more balanced during the summer months (Figure 5). </w:t>
      </w:r>
      <w:r w:rsidR="00962018">
        <w:t xml:space="preserve">These results also imply that the addition of </w:t>
      </w:r>
      <w:proofErr w:type="gramStart"/>
      <w:r w:rsidR="00962018">
        <w:t>Brick and Mortar</w:t>
      </w:r>
      <w:proofErr w:type="gramEnd"/>
      <w:r w:rsidR="00962018">
        <w:t xml:space="preserve"> stores to the Double Up program has substantially increased the affordability of fresh fruits and vegetables during months when farm-direct availability might be lacking.</w:t>
      </w:r>
    </w:p>
    <w:p w14:paraId="5B16290B" w14:textId="08A96A76" w:rsidR="00D557CA" w:rsidRPr="003372B7" w:rsidRDefault="00D557CA" w:rsidP="00D557CA">
      <w:pPr>
        <w:pStyle w:val="Heading3"/>
      </w:pPr>
      <w:bookmarkStart w:id="4" w:name="_Toc109639724"/>
      <w:r w:rsidRPr="003372B7">
        <w:t>Customer Visits</w:t>
      </w:r>
      <w:bookmarkEnd w:id="4"/>
    </w:p>
    <w:p w14:paraId="0CA84867" w14:textId="7EC54EF5" w:rsidR="005E7931" w:rsidRPr="003372B7" w:rsidRDefault="00962018" w:rsidP="00DD057C">
      <w:r>
        <w:t xml:space="preserve">Not all vendors were able to track the number of SNAP </w:t>
      </w:r>
      <w:proofErr w:type="gramStart"/>
      <w:r>
        <w:t>transactions</w:t>
      </w:r>
      <w:proofErr w:type="gramEnd"/>
      <w:r>
        <w:t xml:space="preserve"> and most were not able to track unique customers, but from the data available, there were 42,784 reported SNAP transactions and 4,120 unique customers in 2023.  Due to the missing data, participation in the Double Up program is best measured by the previously discussed distribution and redemption data. </w:t>
      </w:r>
    </w:p>
    <w:p w14:paraId="406397A6" w14:textId="07D694BD" w:rsidR="007F5E6C" w:rsidRPr="00454331" w:rsidRDefault="007F5E6C" w:rsidP="00454331">
      <w:pPr>
        <w:rPr>
          <w:b/>
          <w:bCs/>
          <w:i/>
          <w:iCs/>
        </w:rPr>
      </w:pPr>
      <w:bookmarkStart w:id="5" w:name="_Toc109639725"/>
      <w:r w:rsidRPr="00454331">
        <w:rPr>
          <w:b/>
          <w:bCs/>
          <w:i/>
          <w:iCs/>
        </w:rPr>
        <w:t>Customer Experience</w:t>
      </w:r>
      <w:bookmarkEnd w:id="5"/>
      <w:r w:rsidRPr="00454331">
        <w:rPr>
          <w:b/>
          <w:bCs/>
          <w:i/>
          <w:iCs/>
        </w:rPr>
        <w:t xml:space="preserve"> </w:t>
      </w:r>
    </w:p>
    <w:p w14:paraId="4523068E" w14:textId="3FF83043" w:rsidR="000F548A" w:rsidRDefault="009C39DC" w:rsidP="007F5E6C">
      <w:r>
        <w:t xml:space="preserve">The Double Up team used convenience sampling to survey customers at Double Up venues to learn more about customers’ experience at the market. </w:t>
      </w:r>
      <w:r w:rsidR="00A9332C">
        <w:t>For 202</w:t>
      </w:r>
      <w:r w:rsidR="00962018">
        <w:t>3</w:t>
      </w:r>
      <w:r w:rsidR="00A9332C">
        <w:t xml:space="preserve">, surveys were </w:t>
      </w:r>
      <w:r w:rsidR="00962018">
        <w:t>collected online via Qualtrics</w:t>
      </w:r>
      <w:r w:rsidR="00A9332C">
        <w:t xml:space="preserve">. </w:t>
      </w:r>
      <w:r w:rsidR="00962018">
        <w:t>Three hundred and eighty</w:t>
      </w:r>
      <w:r>
        <w:t xml:space="preserve"> </w:t>
      </w:r>
      <w:r w:rsidR="00962018">
        <w:t xml:space="preserve">(380) </w:t>
      </w:r>
      <w:r>
        <w:t>customers completed a customer survey in 20</w:t>
      </w:r>
      <w:r w:rsidR="00A9332C">
        <w:t>2</w:t>
      </w:r>
      <w:r w:rsidR="00962018">
        <w:t>3</w:t>
      </w:r>
      <w:r>
        <w:t>. Of those surveyed in 202</w:t>
      </w:r>
      <w:r w:rsidR="00962018">
        <w:t>3</w:t>
      </w:r>
      <w:r>
        <w:t xml:space="preserve">, </w:t>
      </w:r>
      <w:r w:rsidR="00962018">
        <w:t>21</w:t>
      </w:r>
      <w:r w:rsidR="00A9332C">
        <w:rPr>
          <w:b/>
          <w:bCs/>
        </w:rPr>
        <w:t>%</w:t>
      </w:r>
      <w:r w:rsidR="000F548A">
        <w:t xml:space="preserve"> </w:t>
      </w:r>
      <w:r w:rsidR="00F55B0D">
        <w:t>had been enrolled in SNAP</w:t>
      </w:r>
      <w:r w:rsidR="000F548A">
        <w:t xml:space="preserve"> for </w:t>
      </w:r>
      <w:r w:rsidR="00F55B0D">
        <w:t>a year or less at the time of survey</w:t>
      </w:r>
      <w:r w:rsidR="00962018">
        <w:t>, and 12% reported just getting started with SNAP. 64% reported using SNAP for more than a year, and 3% did not know or preferred not to answer the question</w:t>
      </w:r>
      <w:r w:rsidR="000F548A">
        <w:t xml:space="preserve"> (</w:t>
      </w:r>
      <w:r w:rsidR="00A9332C">
        <w:t xml:space="preserve">Table </w:t>
      </w:r>
      <w:r w:rsidR="00F55B0D">
        <w:t>6</w:t>
      </w:r>
      <w:r w:rsidR="00A9332C">
        <w:t xml:space="preserve">: Customer Use and </w:t>
      </w:r>
      <w:r w:rsidR="00F55B0D">
        <w:t>Experience</w:t>
      </w:r>
      <w:r w:rsidR="000F548A">
        <w:t>). The consistent percentage of new customers to the program each year can be attributed to the nature of the SNAP program. SNAP recipients are required to regularly recertify for the program to confirm eligibility (within a range of one month to two years). The recertification cycles mean the population of SNAP recipients is constantly changing and households may go on and off the program as their eligibility changes.</w:t>
      </w:r>
    </w:p>
    <w:p w14:paraId="50938CA7" w14:textId="199E28B9" w:rsidR="007F5E6C" w:rsidRDefault="000F548A" w:rsidP="00F55B0D">
      <w:r>
        <w:t xml:space="preserve">About </w:t>
      </w:r>
      <w:r w:rsidR="00962018">
        <w:t>26</w:t>
      </w:r>
      <w:r>
        <w:t xml:space="preserve">% of customers </w:t>
      </w:r>
      <w:r w:rsidR="00962018">
        <w:t>were</w:t>
      </w:r>
      <w:r>
        <w:t xml:space="preserve"> surveyed during their first Double Up experience of the year, which is slightly less than previous years</w:t>
      </w:r>
      <w:r w:rsidR="00A9332C">
        <w:t xml:space="preserve"> (down from 40% in 2019</w:t>
      </w:r>
      <w:r w:rsidR="00962018">
        <w:t>, but up from 21% in 2021</w:t>
      </w:r>
      <w:r w:rsidR="00A9332C">
        <w:t xml:space="preserve">). </w:t>
      </w:r>
      <w:r w:rsidR="00962018">
        <w:t>35% of</w:t>
      </w:r>
      <w:r w:rsidR="00A9332C">
        <w:t xml:space="preserve"> customers </w:t>
      </w:r>
      <w:r w:rsidR="00962018">
        <w:t>were</w:t>
      </w:r>
      <w:r w:rsidR="00A9332C">
        <w:t xml:space="preserve"> surveyed </w:t>
      </w:r>
      <w:r w:rsidR="00962018">
        <w:t>in the first year of their Double Up usage, while 17% had been using Double Up for 1-2 years and 16% had been using the program for 2-5 years. Only 3% of respondents had been using the program for more than 5 years</w:t>
      </w:r>
      <w:r w:rsidR="001E14FD">
        <w:t xml:space="preserve"> (Table </w:t>
      </w:r>
      <w:r w:rsidR="00F55B0D">
        <w:t>6</w:t>
      </w:r>
      <w:r w:rsidR="00741152">
        <w:t xml:space="preserve">: Customer Use and </w:t>
      </w:r>
      <w:r w:rsidR="00F55B0D">
        <w:t>Experience</w:t>
      </w:r>
      <w:r w:rsidR="001E14FD">
        <w:t xml:space="preserve">). </w:t>
      </w:r>
    </w:p>
    <w:p w14:paraId="6D75C7FA" w14:textId="070E9391" w:rsidR="008A75F4" w:rsidRDefault="00BF32E2" w:rsidP="00BF32E2">
      <w:pPr>
        <w:pStyle w:val="Heading1"/>
      </w:pPr>
      <w:bookmarkStart w:id="6" w:name="_Toc109639727"/>
      <w:r>
        <w:lastRenderedPageBreak/>
        <w:t>Cust</w:t>
      </w:r>
      <w:r w:rsidR="008D4B82">
        <w:t>o</w:t>
      </w:r>
      <w:r>
        <w:t>mer Demographic Trends</w:t>
      </w:r>
      <w:bookmarkEnd w:id="6"/>
    </w:p>
    <w:p w14:paraId="36707CAB" w14:textId="1CAD5E10" w:rsidR="00BF32E2" w:rsidRDefault="00BF32E2" w:rsidP="00BF32E2">
      <w:r>
        <w:t xml:space="preserve">The customer surveys conducted at the Double Up venues collected information on the demographics of Double Up Customers. The evaluation compares this information to previous Double Up years to look for trends, but the other primary purpose is to compare demographics of Double Up customers to the demographics of the wider SNAP population in Colorado. </w:t>
      </w:r>
      <w:r w:rsidR="00741152">
        <w:t xml:space="preserve">Understanding how demographics align may be used to assess whether Double Up is under-serving certain populations. If that is the case, </w:t>
      </w:r>
      <w:proofErr w:type="gramStart"/>
      <w:r w:rsidR="00741152">
        <w:t>Nourish</w:t>
      </w:r>
      <w:proofErr w:type="gramEnd"/>
      <w:r w:rsidR="00741152">
        <w:t xml:space="preserve"> can adjust customer outreach strategies accordingly (see Community Partnerships report for more details). </w:t>
      </w:r>
      <w:r w:rsidR="00F55B0D">
        <w:t xml:space="preserve">However, </w:t>
      </w:r>
      <w:r w:rsidR="000E5777">
        <w:t>th</w:t>
      </w:r>
      <w:r w:rsidR="00962018">
        <w:t>ere is no way to know whether this survey sample is truly representative of the population that uses the Double Up program</w:t>
      </w:r>
      <w:r w:rsidR="00F55B0D">
        <w:t xml:space="preserve">. </w:t>
      </w:r>
    </w:p>
    <w:p w14:paraId="2BF4D0F5" w14:textId="5594A01A" w:rsidR="00741152" w:rsidRDefault="00741152" w:rsidP="00BF32E2">
      <w:r>
        <w:t>202</w:t>
      </w:r>
      <w:r w:rsidR="00962018">
        <w:t>3</w:t>
      </w:r>
      <w:r>
        <w:t xml:space="preserve"> Demographic Trends (Table </w:t>
      </w:r>
      <w:r w:rsidR="00F55B0D">
        <w:t>5</w:t>
      </w:r>
      <w:r>
        <w:t>: Customer Demographics</w:t>
      </w:r>
      <w:r w:rsidR="00197EC4">
        <w:t>)</w:t>
      </w:r>
    </w:p>
    <w:p w14:paraId="735A9CD0" w14:textId="3CEBEA62" w:rsidR="00741152" w:rsidRDefault="00962018" w:rsidP="00741152">
      <w:pPr>
        <w:pStyle w:val="ListParagraph"/>
        <w:numPr>
          <w:ilvl w:val="0"/>
          <w:numId w:val="8"/>
        </w:numPr>
      </w:pPr>
      <w:r>
        <w:t>380</w:t>
      </w:r>
      <w:r w:rsidR="00741152">
        <w:t xml:space="preserve"> customers responded to the customer survey in 202</w:t>
      </w:r>
      <w:r>
        <w:t>3</w:t>
      </w:r>
      <w:r w:rsidR="00741152">
        <w:t>.</w:t>
      </w:r>
    </w:p>
    <w:p w14:paraId="2F14330F" w14:textId="31C53071" w:rsidR="00741152" w:rsidRDefault="00741152" w:rsidP="00741152">
      <w:pPr>
        <w:pStyle w:val="ListParagraph"/>
        <w:numPr>
          <w:ilvl w:val="0"/>
          <w:numId w:val="8"/>
        </w:numPr>
      </w:pPr>
      <w:r>
        <w:t xml:space="preserve">Women continued to be </w:t>
      </w:r>
      <w:proofErr w:type="gramStart"/>
      <w:r>
        <w:t>the majority of</w:t>
      </w:r>
      <w:proofErr w:type="gramEnd"/>
      <w:r>
        <w:t xml:space="preserve"> participants at 6</w:t>
      </w:r>
      <w:r w:rsidR="00962018">
        <w:t>8</w:t>
      </w:r>
      <w:r>
        <w:t>% of all surveyed respondents in 202</w:t>
      </w:r>
      <w:r w:rsidR="00962018">
        <w:t>3</w:t>
      </w:r>
      <w:r>
        <w:t>.</w:t>
      </w:r>
    </w:p>
    <w:p w14:paraId="488189CD" w14:textId="594EBE31" w:rsidR="00741152" w:rsidRDefault="00741152" w:rsidP="00741152">
      <w:pPr>
        <w:pStyle w:val="ListParagraph"/>
        <w:numPr>
          <w:ilvl w:val="1"/>
          <w:numId w:val="8"/>
        </w:numPr>
      </w:pPr>
      <w:r>
        <w:t xml:space="preserve">There was a decrease in male respondents from </w:t>
      </w:r>
      <w:r w:rsidR="00962018">
        <w:t>2021 to 2023</w:t>
      </w:r>
      <w:r>
        <w:t xml:space="preserve"> (</w:t>
      </w:r>
      <w:r w:rsidR="00962018">
        <w:t>32</w:t>
      </w:r>
      <w:r>
        <w:t xml:space="preserve">% to </w:t>
      </w:r>
      <w:r w:rsidR="00962018">
        <w:t>23</w:t>
      </w:r>
      <w:r>
        <w:t>%)</w:t>
      </w:r>
      <w:r w:rsidR="00962018">
        <w:t>.</w:t>
      </w:r>
    </w:p>
    <w:p w14:paraId="4FDB1086" w14:textId="7A244860" w:rsidR="00F531C6" w:rsidRDefault="00F531C6" w:rsidP="00741152">
      <w:pPr>
        <w:pStyle w:val="ListParagraph"/>
        <w:numPr>
          <w:ilvl w:val="1"/>
          <w:numId w:val="8"/>
        </w:numPr>
      </w:pPr>
      <w:r>
        <w:t>In Colorado, adult females outnumber males living in poverty in every age range, with females 18 to 25 years of age making up the largest share living in poverty at about 10% (Deloitte, 2017).</w:t>
      </w:r>
    </w:p>
    <w:p w14:paraId="519C60EC" w14:textId="0E47F211" w:rsidR="00F531C6" w:rsidRDefault="00F531C6" w:rsidP="00741152">
      <w:pPr>
        <w:pStyle w:val="ListParagraph"/>
        <w:numPr>
          <w:ilvl w:val="1"/>
          <w:numId w:val="8"/>
        </w:numPr>
      </w:pPr>
      <w:r>
        <w:t>Nationally, approximately 57% of SNAP participants are female and 43% are male; this is a breakdown of all household members, including children (U.S. Department of Agriculture, Food and Nutrition Service, Office of Policy Support, 2017).</w:t>
      </w:r>
    </w:p>
    <w:p w14:paraId="791E2EAB" w14:textId="341D996C" w:rsidR="00F531C6" w:rsidRDefault="00F531C6" w:rsidP="00741152">
      <w:pPr>
        <w:pStyle w:val="ListParagraph"/>
        <w:numPr>
          <w:ilvl w:val="1"/>
          <w:numId w:val="8"/>
        </w:numPr>
      </w:pPr>
      <w:r>
        <w:t>In addition, women are more likely to take on primary responsibility for household chores like grocery shopping, so they may constitute a higher proportion of the Double Up population for that reason as well (Flagg et al., 2013).</w:t>
      </w:r>
    </w:p>
    <w:p w14:paraId="6E9381D3" w14:textId="44ABC010" w:rsidR="00F531C6" w:rsidRDefault="00F531C6" w:rsidP="00F531C6">
      <w:pPr>
        <w:pStyle w:val="ListParagraph"/>
        <w:numPr>
          <w:ilvl w:val="0"/>
          <w:numId w:val="8"/>
        </w:numPr>
      </w:pPr>
      <w:r>
        <w:t>As in previous years, most respondents identified as White (7</w:t>
      </w:r>
      <w:r w:rsidR="00962018">
        <w:t>1</w:t>
      </w:r>
      <w:r>
        <w:t>%</w:t>
      </w:r>
      <w:proofErr w:type="gramStart"/>
      <w:r>
        <w:t>)</w:t>
      </w:r>
      <w:proofErr w:type="gramEnd"/>
      <w:r w:rsidR="00044EC6">
        <w:t xml:space="preserve"> and </w:t>
      </w:r>
      <w:r w:rsidR="00962018">
        <w:t>65</w:t>
      </w:r>
      <w:r w:rsidR="00044EC6">
        <w:t xml:space="preserve"> respondents (</w:t>
      </w:r>
      <w:r w:rsidR="00962018">
        <w:t>17</w:t>
      </w:r>
      <w:r w:rsidR="00044EC6">
        <w:t>%) identified as Hispanic or Latino/a</w:t>
      </w:r>
    </w:p>
    <w:p w14:paraId="1CA1CEF3" w14:textId="04F50AA3" w:rsidR="00044EC6" w:rsidRDefault="00044EC6" w:rsidP="00044EC6">
      <w:pPr>
        <w:pStyle w:val="ListParagraph"/>
        <w:numPr>
          <w:ilvl w:val="1"/>
          <w:numId w:val="8"/>
        </w:numPr>
      </w:pPr>
      <w:r>
        <w:t xml:space="preserve">At </w:t>
      </w:r>
      <w:r w:rsidR="00962018">
        <w:t>3</w:t>
      </w:r>
      <w:r>
        <w:t xml:space="preserve">%, the percentage of respondents identifying as American Indian </w:t>
      </w:r>
      <w:r w:rsidR="00962018">
        <w:t>or Alaskan Native de</w:t>
      </w:r>
      <w:r>
        <w:t>creased from 20</w:t>
      </w:r>
      <w:r w:rsidR="00962018">
        <w:t>21</w:t>
      </w:r>
      <w:r>
        <w:t xml:space="preserve"> (</w:t>
      </w:r>
      <w:r w:rsidR="00962018">
        <w:t>4</w:t>
      </w:r>
      <w:r>
        <w:t>%). This figure is still above the 1% of individuals living in poverty in Colorado who identify as Native American</w:t>
      </w:r>
      <w:r w:rsidR="00F55B0D">
        <w:t>.</w:t>
      </w:r>
      <w:r>
        <w:t xml:space="preserve"> </w:t>
      </w:r>
    </w:p>
    <w:p w14:paraId="079AF8EC" w14:textId="7C901CE3" w:rsidR="00044EC6" w:rsidRDefault="00044EC6" w:rsidP="00044EC6">
      <w:pPr>
        <w:pStyle w:val="ListParagraph"/>
        <w:numPr>
          <w:ilvl w:val="1"/>
          <w:numId w:val="8"/>
        </w:numPr>
      </w:pPr>
      <w:r>
        <w:t>Based on data from the U.S. Census Bureau, of all individuals living in poverty in Colorado, 56% identified as White and 26% identified as Hispanic</w:t>
      </w:r>
      <w:r w:rsidR="00403FFA">
        <w:t xml:space="preserve">, with all other demographics falling slightly below 10% (Deloitte, 2017). </w:t>
      </w:r>
      <w:r w:rsidR="00962018">
        <w:t xml:space="preserve">The observation that this sample has a higher percentage of white respondents compared to the population that is likely to be eligible for SNAP may be a result of the survey recruitment </w:t>
      </w:r>
      <w:proofErr w:type="gramStart"/>
      <w:r w:rsidR="00962018">
        <w:t>process, or</w:t>
      </w:r>
      <w:proofErr w:type="gramEnd"/>
      <w:r w:rsidR="00962018">
        <w:t xml:space="preserve"> may also point to issues that minority populations may experience when considering enrollment in food assistance.</w:t>
      </w:r>
    </w:p>
    <w:p w14:paraId="5DB34E46" w14:textId="38AB980D" w:rsidR="00137871" w:rsidRDefault="00137871" w:rsidP="00137871">
      <w:pPr>
        <w:pStyle w:val="ListParagraph"/>
        <w:numPr>
          <w:ilvl w:val="0"/>
          <w:numId w:val="8"/>
        </w:numPr>
      </w:pPr>
      <w:r>
        <w:t>5</w:t>
      </w:r>
      <w:r w:rsidR="00962018">
        <w:t>5</w:t>
      </w:r>
      <w:r>
        <w:t>% of respondents were identified as food insecure</w:t>
      </w:r>
      <w:r w:rsidR="00F25253">
        <w:t xml:space="preserve"> </w:t>
      </w:r>
      <w:r w:rsidR="00F55B0D">
        <w:t>at the time of survey</w:t>
      </w:r>
      <w:r w:rsidR="00962018">
        <w:t>, which is a 2% decrease from 2021.</w:t>
      </w:r>
    </w:p>
    <w:p w14:paraId="6FC59DF9" w14:textId="0C81038D" w:rsidR="00143EC0" w:rsidRDefault="00143EC0" w:rsidP="00143EC0">
      <w:pPr>
        <w:pStyle w:val="ListParagraph"/>
        <w:numPr>
          <w:ilvl w:val="1"/>
          <w:numId w:val="8"/>
        </w:numPr>
      </w:pPr>
      <w:r>
        <w:t xml:space="preserve">Food insecurity </w:t>
      </w:r>
      <w:r w:rsidR="00F55B0D">
        <w:t xml:space="preserve">levels </w:t>
      </w:r>
      <w:r>
        <w:t>w</w:t>
      </w:r>
      <w:r w:rsidR="00F55B0D">
        <w:t xml:space="preserve">ere </w:t>
      </w:r>
      <w:r>
        <w:t xml:space="preserve">calculated from </w:t>
      </w:r>
      <w:r w:rsidR="00962018">
        <w:t xml:space="preserve">the first question in the USDA food security measure, which is consistent with previous literature </w:t>
      </w:r>
      <w:r w:rsidR="00F55B0D">
        <w:t>(</w:t>
      </w:r>
      <w:r w:rsidR="000E5777">
        <w:t>USDA, 2012</w:t>
      </w:r>
      <w:r w:rsidR="00F55B0D">
        <w:t>)</w:t>
      </w:r>
      <w:r w:rsidR="00962018">
        <w:t xml:space="preserve">. A household was classified as food insecure if they reported sometimes or often experiencing that “the food they bought didn’t last, and they didn’t have money to get more.” </w:t>
      </w:r>
    </w:p>
    <w:p w14:paraId="4C71F045" w14:textId="206274BB" w:rsidR="00962018" w:rsidRDefault="00962018" w:rsidP="00143EC0">
      <w:pPr>
        <w:pStyle w:val="ListParagraph"/>
        <w:numPr>
          <w:ilvl w:val="1"/>
          <w:numId w:val="8"/>
        </w:numPr>
      </w:pPr>
      <w:r>
        <w:t xml:space="preserve">40% of the sample were classified as food secure, and 5% did not know and/or preferred not to answer. </w:t>
      </w:r>
    </w:p>
    <w:p w14:paraId="7892D5F8" w14:textId="76658604" w:rsidR="00143EC0" w:rsidRDefault="00F55B0D" w:rsidP="00143EC0">
      <w:pPr>
        <w:pStyle w:val="ListParagraph"/>
        <w:numPr>
          <w:ilvl w:val="0"/>
          <w:numId w:val="8"/>
        </w:numPr>
      </w:pPr>
      <w:proofErr w:type="gramStart"/>
      <w:r>
        <w:t>A majority of</w:t>
      </w:r>
      <w:proofErr w:type="gramEnd"/>
      <w:r>
        <w:t xml:space="preserve"> respondents have received SNAP</w:t>
      </w:r>
      <w:r w:rsidR="00143EC0">
        <w:t xml:space="preserve"> benefits for more than one year</w:t>
      </w:r>
      <w:r>
        <w:t>, at 6</w:t>
      </w:r>
      <w:r w:rsidR="00962018">
        <w:t>4</w:t>
      </w:r>
      <w:r>
        <w:t>% of all surveyed respondents in 202</w:t>
      </w:r>
      <w:r w:rsidR="00962018">
        <w:t>3.</w:t>
      </w:r>
    </w:p>
    <w:p w14:paraId="33AD22DD" w14:textId="3D9AF280" w:rsidR="00F55B0D" w:rsidRDefault="00F55B0D" w:rsidP="00F55B0D">
      <w:pPr>
        <w:pStyle w:val="ListParagraph"/>
        <w:numPr>
          <w:ilvl w:val="1"/>
          <w:numId w:val="8"/>
        </w:numPr>
      </w:pPr>
      <w:r>
        <w:t xml:space="preserve">Just </w:t>
      </w:r>
      <w:r w:rsidR="00962018">
        <w:t>12</w:t>
      </w:r>
      <w:r w:rsidR="001E48C4">
        <w:t xml:space="preserve">% </w:t>
      </w:r>
      <w:r>
        <w:t>of respondents</w:t>
      </w:r>
      <w:r w:rsidR="001E48C4">
        <w:t xml:space="preserve"> started using benefits </w:t>
      </w:r>
      <w:r>
        <w:t xml:space="preserve">within the month </w:t>
      </w:r>
      <w:r w:rsidR="001E48C4">
        <w:t xml:space="preserve">and </w:t>
      </w:r>
      <w:r w:rsidR="00962018">
        <w:t>21</w:t>
      </w:r>
      <w:r w:rsidR="001E48C4">
        <w:t xml:space="preserve">%. have </w:t>
      </w:r>
      <w:r>
        <w:t xml:space="preserve">used SNAP </w:t>
      </w:r>
      <w:r w:rsidR="001E48C4">
        <w:t>benefits for less than a year</w:t>
      </w:r>
      <w:r>
        <w:t xml:space="preserve">. This turnover </w:t>
      </w:r>
      <w:r w:rsidR="00962018">
        <w:t>is consistent with SNAP turnover rates.</w:t>
      </w:r>
      <w:r>
        <w:t xml:space="preserve"> </w:t>
      </w:r>
    </w:p>
    <w:p w14:paraId="7D3263CA" w14:textId="69AB4DFA" w:rsidR="00F55B0D" w:rsidRPr="00F55B0D" w:rsidRDefault="00F55B0D" w:rsidP="00F55B0D">
      <w:pPr>
        <w:pStyle w:val="ListParagraph"/>
        <w:numPr>
          <w:ilvl w:val="0"/>
          <w:numId w:val="8"/>
        </w:numPr>
      </w:pPr>
      <w:r>
        <w:lastRenderedPageBreak/>
        <w:t xml:space="preserve">While </w:t>
      </w:r>
      <w:r w:rsidR="00962018">
        <w:t>88</w:t>
      </w:r>
      <w:r>
        <w:t xml:space="preserve">% of participants utilize farmers markets for DUFB transactions, </w:t>
      </w:r>
      <w:r w:rsidR="00962018">
        <w:t>2</w:t>
      </w:r>
      <w:r>
        <w:t>3%</w:t>
      </w:r>
      <w:r>
        <w:rPr>
          <w:b/>
        </w:rPr>
        <w:t xml:space="preserve"> </w:t>
      </w:r>
      <w:r>
        <w:rPr>
          <w:bCs/>
        </w:rPr>
        <w:t>also use grocery stores for DUFB benefits</w:t>
      </w:r>
      <w:r w:rsidR="00962018">
        <w:rPr>
          <w:bCs/>
        </w:rPr>
        <w:t xml:space="preserve">. These proportions decreased from 2021, reflecting an increase in the diversity of options that are available for usage of Double Up Food </w:t>
      </w:r>
      <w:proofErr w:type="spellStart"/>
      <w:r w:rsidR="00962018">
        <w:rPr>
          <w:bCs/>
        </w:rPr>
        <w:t>Bucks.</w:t>
      </w:r>
      <w:proofErr w:type="spellEnd"/>
      <w:r w:rsidR="00962018">
        <w:rPr>
          <w:bCs/>
        </w:rPr>
        <w:t xml:space="preserve"> </w:t>
      </w:r>
    </w:p>
    <w:p w14:paraId="2EF84D34" w14:textId="28EE720F" w:rsidR="00F55B0D" w:rsidRDefault="00F55B0D" w:rsidP="00F55B0D">
      <w:pPr>
        <w:pStyle w:val="ListParagraph"/>
        <w:numPr>
          <w:ilvl w:val="1"/>
          <w:numId w:val="8"/>
        </w:numPr>
      </w:pPr>
      <w:r>
        <w:t xml:space="preserve">This might </w:t>
      </w:r>
      <w:r w:rsidR="00962018">
        <w:t xml:space="preserve">also </w:t>
      </w:r>
      <w:r>
        <w:t xml:space="preserve">be a result of the continued growth in grocery store partnerships with DUFB, including the partnership with Save </w:t>
      </w:r>
      <w:proofErr w:type="gramStart"/>
      <w:r>
        <w:t>A</w:t>
      </w:r>
      <w:proofErr w:type="gramEnd"/>
      <w:r>
        <w:t xml:space="preserve"> Lot stores. </w:t>
      </w:r>
    </w:p>
    <w:p w14:paraId="789AE718" w14:textId="3ECBECB9" w:rsidR="00BF32E2" w:rsidRDefault="00BF32E2" w:rsidP="00BF32E2">
      <w:pPr>
        <w:pStyle w:val="Heading1"/>
      </w:pPr>
      <w:bookmarkStart w:id="7" w:name="_Toc109639728"/>
      <w:r>
        <w:t xml:space="preserve">Customer Attitudes and </w:t>
      </w:r>
      <w:r w:rsidR="00962018">
        <w:t xml:space="preserve">Consumption </w:t>
      </w:r>
      <w:r>
        <w:t>Behaviors</w:t>
      </w:r>
      <w:bookmarkEnd w:id="7"/>
      <w:r>
        <w:t xml:space="preserve"> </w:t>
      </w:r>
    </w:p>
    <w:p w14:paraId="4A2AF6BF" w14:textId="7BDADBEA" w:rsidR="00BF32E2" w:rsidRDefault="00F25253" w:rsidP="00BF32E2">
      <w:r>
        <w:t xml:space="preserve">The evaluation approach primarily used customer surveys to learn about the impact of the program on customers. Survey participants were asked about their attitudes toward the program </w:t>
      </w:r>
      <w:r w:rsidR="00F55B0D">
        <w:t>and various consumptions patterns.</w:t>
      </w:r>
    </w:p>
    <w:p w14:paraId="50772BA1" w14:textId="0A3EAB5A" w:rsidR="00BF32E2" w:rsidRDefault="00BF32E2" w:rsidP="00BF32E2">
      <w:pPr>
        <w:pStyle w:val="Heading3"/>
      </w:pPr>
      <w:bookmarkStart w:id="8" w:name="_Toc109639729"/>
      <w:r>
        <w:t>Customer Attitudes toward Double Up</w:t>
      </w:r>
      <w:bookmarkEnd w:id="8"/>
    </w:p>
    <w:p w14:paraId="4DB4659C" w14:textId="4AABF609" w:rsidR="00BF32E2" w:rsidRDefault="00D0139D" w:rsidP="00BF32E2">
      <w:r>
        <w:t>An important goal of the Double Up program is to increase access to high-quality food choices to support healthy eating behaviors. For this reason, the evaluation program asks survey respondents to rate their experience using Double Up sites. 9</w:t>
      </w:r>
      <w:r w:rsidR="00962018">
        <w:t>1</w:t>
      </w:r>
      <w:r>
        <w:t xml:space="preserve">% of respondents indicated that their experience was either ‘positive’ or ‘very positive’. </w:t>
      </w:r>
      <w:r w:rsidR="00962018">
        <w:t>5</w:t>
      </w:r>
      <w:r>
        <w:t>% of respondents indicated their experience was ‘neutral’</w:t>
      </w:r>
      <w:r w:rsidR="00962018">
        <w:t>, 3% indicated that they didn’t know and/or preferred not to answer,</w:t>
      </w:r>
      <w:r>
        <w:t xml:space="preserve"> and </w:t>
      </w:r>
      <w:r w:rsidR="00962018">
        <w:t>only 1 respondent</w:t>
      </w:r>
      <w:r>
        <w:t xml:space="preserve"> recorded a negative </w:t>
      </w:r>
      <w:r w:rsidR="00962018">
        <w:t xml:space="preserve">or very negative </w:t>
      </w:r>
      <w:r>
        <w:t>experience</w:t>
      </w:r>
      <w:r w:rsidR="00F55B0D">
        <w:t xml:space="preserve"> (Table 7: Average Ratings of Market Experience by Demographic)</w:t>
      </w:r>
      <w:r>
        <w:t xml:space="preserve">. </w:t>
      </w:r>
      <w:r w:rsidR="00F55B0D">
        <w:t xml:space="preserve"> We further broke down market experience by demographic so that we might use this information to identify what populations we might need to target for constructive feedback on the program.</w:t>
      </w:r>
    </w:p>
    <w:p w14:paraId="023673B8" w14:textId="5AFFBB7C" w:rsidR="00F55B0D" w:rsidRDefault="00F55B0D" w:rsidP="00BF32E2">
      <w:r>
        <w:t>Market Experience by Demographic (Table 7: Average Rating of Market Experience by Demographic)</w:t>
      </w:r>
    </w:p>
    <w:p w14:paraId="1FC86F0C" w14:textId="29E853FC" w:rsidR="00F55B0D" w:rsidRDefault="00F55B0D" w:rsidP="00F55B0D">
      <w:pPr>
        <w:pStyle w:val="ListParagraph"/>
        <w:numPr>
          <w:ilvl w:val="0"/>
          <w:numId w:val="28"/>
        </w:numPr>
      </w:pPr>
      <w:r>
        <w:t xml:space="preserve">Of the </w:t>
      </w:r>
      <w:r w:rsidR="00962018">
        <w:t xml:space="preserve">20 </w:t>
      </w:r>
      <w:r>
        <w:t xml:space="preserve">respondents that indicated their market experience was neutral, </w:t>
      </w:r>
      <w:r w:rsidR="00962018">
        <w:t xml:space="preserve">12 were white, 1 was Black or African American, 1 was Asian, and 6 were Mixed race. </w:t>
      </w:r>
    </w:p>
    <w:p w14:paraId="15FE3C6B" w14:textId="57AB3096" w:rsidR="00F55B0D" w:rsidRDefault="00962018" w:rsidP="00F55B0D">
      <w:pPr>
        <w:pStyle w:val="ListParagraph"/>
        <w:numPr>
          <w:ilvl w:val="1"/>
          <w:numId w:val="28"/>
        </w:numPr>
      </w:pPr>
      <w:r>
        <w:t>4</w:t>
      </w:r>
      <w:r w:rsidR="00F55B0D">
        <w:t xml:space="preserve"> of those respondents identified as Hispanic or Latino/a</w:t>
      </w:r>
    </w:p>
    <w:p w14:paraId="1B6A4726" w14:textId="5D73D351" w:rsidR="00F55B0D" w:rsidRDefault="00F55B0D" w:rsidP="00F55B0D">
      <w:pPr>
        <w:pStyle w:val="ListParagraph"/>
        <w:numPr>
          <w:ilvl w:val="0"/>
          <w:numId w:val="28"/>
        </w:numPr>
      </w:pPr>
      <w:r>
        <w:t xml:space="preserve">The spread of neutral responses across gender was </w:t>
      </w:r>
      <w:proofErr w:type="gramStart"/>
      <w:r>
        <w:t>fairly even</w:t>
      </w:r>
      <w:proofErr w:type="gramEnd"/>
    </w:p>
    <w:p w14:paraId="3F7EA8B0" w14:textId="3523D60A" w:rsidR="00962018" w:rsidRDefault="00962018" w:rsidP="00F55B0D">
      <w:pPr>
        <w:pStyle w:val="ListParagraph"/>
        <w:numPr>
          <w:ilvl w:val="0"/>
          <w:numId w:val="28"/>
        </w:numPr>
      </w:pPr>
      <w:r>
        <w:t>The portion of respondents reporting positive and very positive experiences were proportional to the representation of races and ethnicities.</w:t>
      </w:r>
    </w:p>
    <w:p w14:paraId="7F1BEBDB" w14:textId="33D71769" w:rsidR="00F55B0D" w:rsidRDefault="00962018" w:rsidP="00962018">
      <w:pPr>
        <w:pStyle w:val="ListParagraph"/>
        <w:numPr>
          <w:ilvl w:val="0"/>
          <w:numId w:val="28"/>
        </w:numPr>
      </w:pPr>
      <w:r>
        <w:t>We also observed customer attitudes across food security classification.</w:t>
      </w:r>
    </w:p>
    <w:p w14:paraId="5DA9EB70" w14:textId="10610662" w:rsidR="00962018" w:rsidRDefault="00962018" w:rsidP="00962018">
      <w:pPr>
        <w:pStyle w:val="ListParagraph"/>
        <w:numPr>
          <w:ilvl w:val="1"/>
          <w:numId w:val="28"/>
        </w:numPr>
      </w:pPr>
      <w:r>
        <w:t xml:space="preserve">Experience was again mostly proportional to the sample’s representation, but food insecure respondents reported neutral experiences at slightly higher rates. </w:t>
      </w:r>
    </w:p>
    <w:p w14:paraId="248D2E34" w14:textId="5F87C913" w:rsidR="00BF32E2" w:rsidRPr="00BF32E2" w:rsidRDefault="00F55B0D" w:rsidP="00BF32E2">
      <w:pPr>
        <w:pStyle w:val="Heading3"/>
      </w:pPr>
      <w:bookmarkStart w:id="9" w:name="_Toc109639730"/>
      <w:r>
        <w:t>Consumption</w:t>
      </w:r>
      <w:r w:rsidR="00BF32E2">
        <w:t xml:space="preserve"> Behavior </w:t>
      </w:r>
      <w:r>
        <w:t>during</w:t>
      </w:r>
      <w:r w:rsidR="00BF32E2">
        <w:t xml:space="preserve"> Double Up</w:t>
      </w:r>
      <w:bookmarkEnd w:id="9"/>
      <w:r w:rsidR="00BF32E2">
        <w:t xml:space="preserve"> </w:t>
      </w:r>
      <w:r>
        <w:t>use</w:t>
      </w:r>
    </w:p>
    <w:p w14:paraId="7B571BF9" w14:textId="36365769" w:rsidR="00D0139D" w:rsidRDefault="00FF07DD" w:rsidP="00D0139D">
      <w:r>
        <w:t xml:space="preserve">Surveyed customers were also asked to </w:t>
      </w:r>
      <w:r w:rsidR="00F55B0D">
        <w:t>report the frequency of specific food consumption patterns.</w:t>
      </w:r>
      <w:r>
        <w:t xml:space="preserve"> Understanding behavior around fruit and vegetable consumption is a primary goal of the evaluation program. While we cannot empirically estimate behavior changes because we do not have access to </w:t>
      </w:r>
      <w:r w:rsidR="00F55B0D">
        <w:t>pre and post consumption</w:t>
      </w:r>
      <w:r>
        <w:t xml:space="preserve"> data, pre-program purchasing data, nor data from a control group without access to the program, we can still evaluate customers’ perception of their own </w:t>
      </w:r>
      <w:r w:rsidR="00F55B0D">
        <w:t xml:space="preserve">consumption </w:t>
      </w:r>
      <w:r>
        <w:t xml:space="preserve">behavior. </w:t>
      </w:r>
    </w:p>
    <w:p w14:paraId="5DC4309B" w14:textId="5CAF0273" w:rsidR="00F55B0D" w:rsidRDefault="00F55B0D" w:rsidP="00D0139D">
      <w:r>
        <w:t>According to 202</w:t>
      </w:r>
      <w:r w:rsidR="00962018">
        <w:t>3</w:t>
      </w:r>
      <w:r>
        <w:t xml:space="preserve"> customer survey data:</w:t>
      </w:r>
    </w:p>
    <w:p w14:paraId="219D5967" w14:textId="7F798A4B" w:rsidR="00BF32E2" w:rsidRPr="00962018" w:rsidRDefault="00962018" w:rsidP="00E8358B">
      <w:pPr>
        <w:pStyle w:val="ListParagraph"/>
        <w:numPr>
          <w:ilvl w:val="0"/>
          <w:numId w:val="26"/>
        </w:numPr>
      </w:pPr>
      <w:r>
        <w:t>65</w:t>
      </w:r>
      <w:r w:rsidR="00E8358B" w:rsidRPr="00E8358B">
        <w:t>%</w:t>
      </w:r>
      <w:r w:rsidR="00E8358B" w:rsidRPr="00E8358B">
        <w:rPr>
          <w:b/>
        </w:rPr>
        <w:t xml:space="preserve"> </w:t>
      </w:r>
      <w:r w:rsidR="00E8358B" w:rsidRPr="00E8358B">
        <w:rPr>
          <w:bCs/>
        </w:rPr>
        <w:t xml:space="preserve">of customers indicated that they eat vegetables </w:t>
      </w:r>
      <w:r>
        <w:rPr>
          <w:bCs/>
        </w:rPr>
        <w:t>3 or more</w:t>
      </w:r>
      <w:r w:rsidR="00E8358B" w:rsidRPr="00E8358B">
        <w:rPr>
          <w:bCs/>
        </w:rPr>
        <w:t xml:space="preserve"> times per week</w:t>
      </w:r>
    </w:p>
    <w:p w14:paraId="76323210" w14:textId="092D72BC" w:rsidR="00962018" w:rsidRPr="00E8358B" w:rsidRDefault="00962018" w:rsidP="00962018">
      <w:pPr>
        <w:pStyle w:val="ListParagraph"/>
        <w:numPr>
          <w:ilvl w:val="0"/>
          <w:numId w:val="26"/>
        </w:numPr>
      </w:pPr>
      <w:r>
        <w:rPr>
          <w:bCs/>
        </w:rPr>
        <w:t>62% of customers reported eating salad 3 or more times per week</w:t>
      </w:r>
    </w:p>
    <w:p w14:paraId="1B7BFED6" w14:textId="57859047" w:rsidR="00E8358B" w:rsidRPr="00962018" w:rsidRDefault="00E8358B" w:rsidP="00E8358B">
      <w:pPr>
        <w:pStyle w:val="ListParagraph"/>
        <w:numPr>
          <w:ilvl w:val="0"/>
          <w:numId w:val="26"/>
        </w:numPr>
      </w:pPr>
      <w:r w:rsidRPr="00E8358B">
        <w:rPr>
          <w:bCs/>
        </w:rPr>
        <w:t>6</w:t>
      </w:r>
      <w:r w:rsidR="00962018">
        <w:rPr>
          <w:bCs/>
        </w:rPr>
        <w:t>6</w:t>
      </w:r>
      <w:r w:rsidRPr="00E8358B">
        <w:rPr>
          <w:bCs/>
        </w:rPr>
        <w:t xml:space="preserve">% of customers </w:t>
      </w:r>
      <w:r w:rsidR="00962018">
        <w:rPr>
          <w:bCs/>
        </w:rPr>
        <w:t xml:space="preserve">reported </w:t>
      </w:r>
      <w:r w:rsidRPr="00E8358B">
        <w:rPr>
          <w:bCs/>
        </w:rPr>
        <w:t>eating fruit 3</w:t>
      </w:r>
      <w:r w:rsidR="00962018">
        <w:rPr>
          <w:bCs/>
        </w:rPr>
        <w:t xml:space="preserve"> or more</w:t>
      </w:r>
      <w:r w:rsidRPr="00E8358B">
        <w:rPr>
          <w:bCs/>
        </w:rPr>
        <w:t xml:space="preserve"> times per week.</w:t>
      </w:r>
    </w:p>
    <w:p w14:paraId="519C69B6" w14:textId="34E93EDB" w:rsidR="00962018" w:rsidRPr="00E8358B" w:rsidRDefault="00962018" w:rsidP="00E8358B">
      <w:pPr>
        <w:pStyle w:val="ListParagraph"/>
        <w:numPr>
          <w:ilvl w:val="0"/>
          <w:numId w:val="26"/>
        </w:numPr>
      </w:pPr>
      <w:r>
        <w:rPr>
          <w:bCs/>
        </w:rPr>
        <w:t>26% of customers reported eating beans 3 or more times per week</w:t>
      </w:r>
    </w:p>
    <w:p w14:paraId="2CCD5FA8" w14:textId="3751918A" w:rsidR="00E8358B" w:rsidRPr="00962018" w:rsidRDefault="00E8358B" w:rsidP="00E8358B">
      <w:pPr>
        <w:pStyle w:val="ListParagraph"/>
        <w:numPr>
          <w:ilvl w:val="0"/>
          <w:numId w:val="26"/>
        </w:numPr>
      </w:pPr>
      <w:r>
        <w:rPr>
          <w:bCs/>
        </w:rPr>
        <w:t xml:space="preserve">Only </w:t>
      </w:r>
      <w:r w:rsidR="00962018">
        <w:rPr>
          <w:bCs/>
        </w:rPr>
        <w:t>4</w:t>
      </w:r>
      <w:r>
        <w:rPr>
          <w:bCs/>
        </w:rPr>
        <w:t>% of surveyed customers drink fruit juice daily and 2</w:t>
      </w:r>
      <w:r w:rsidR="00962018">
        <w:rPr>
          <w:bCs/>
        </w:rPr>
        <w:t>6</w:t>
      </w:r>
      <w:r>
        <w:rPr>
          <w:bCs/>
        </w:rPr>
        <w:t>% of customers indicated they never drink fruit juice</w:t>
      </w:r>
      <w:r w:rsidR="00962018">
        <w:rPr>
          <w:bCs/>
        </w:rPr>
        <w:t>. 18% reported drinking fruit juice 3 or more times per week.</w:t>
      </w:r>
    </w:p>
    <w:p w14:paraId="27B4B96D" w14:textId="4F492F94" w:rsidR="00962018" w:rsidRPr="00962018" w:rsidRDefault="00962018" w:rsidP="00E8358B">
      <w:pPr>
        <w:pStyle w:val="ListParagraph"/>
        <w:numPr>
          <w:ilvl w:val="0"/>
          <w:numId w:val="26"/>
        </w:numPr>
      </w:pPr>
      <w:r>
        <w:rPr>
          <w:bCs/>
        </w:rPr>
        <w:t>Only 17% of respondents reported eating fried potatoes 3 or more times per week.</w:t>
      </w:r>
    </w:p>
    <w:p w14:paraId="45B30F71" w14:textId="7C5C0392" w:rsidR="00962018" w:rsidRPr="00E8358B" w:rsidRDefault="00962018" w:rsidP="00E8358B">
      <w:pPr>
        <w:pStyle w:val="ListParagraph"/>
        <w:numPr>
          <w:ilvl w:val="0"/>
          <w:numId w:val="26"/>
        </w:numPr>
      </w:pPr>
      <w:r>
        <w:rPr>
          <w:bCs/>
        </w:rPr>
        <w:lastRenderedPageBreak/>
        <w:t xml:space="preserve">22% of respondents reported eating pizza 3 or more times per week. </w:t>
      </w:r>
    </w:p>
    <w:p w14:paraId="03E9C20C" w14:textId="55D46026" w:rsidR="00F55B0D" w:rsidRPr="00BF32E2" w:rsidRDefault="00F55B0D" w:rsidP="00F55B0D">
      <w:r>
        <w:t>(Figure 3: Customers’ Healthy Food Consumption; Figure 4:</w:t>
      </w:r>
      <w:r w:rsidR="00962018">
        <w:t xml:space="preserve"> </w:t>
      </w:r>
      <w:r>
        <w:t>Customers’ Fried Food and SSB Consumption</w:t>
      </w:r>
      <w:r w:rsidR="00962018">
        <w:t xml:space="preserve"> show more details</w:t>
      </w:r>
      <w:r>
        <w:t xml:space="preserve">).  </w:t>
      </w:r>
    </w:p>
    <w:p w14:paraId="2D88B580" w14:textId="34F204EA" w:rsidR="00B1168A" w:rsidRPr="00332DA8" w:rsidRDefault="00ED4CF3" w:rsidP="00B1168A">
      <w:pPr>
        <w:pStyle w:val="Heading1"/>
        <w:ind w:left="720" w:hanging="720"/>
      </w:pPr>
      <w:r>
        <w:t>Conclusions and Recommendations</w:t>
      </w:r>
    </w:p>
    <w:p w14:paraId="34ABF108" w14:textId="1DC011F7" w:rsidR="00A624A0" w:rsidRPr="00332DA8" w:rsidRDefault="003B1A73" w:rsidP="00912ED6">
      <w:r w:rsidRPr="00332DA8">
        <w:t>In 20</w:t>
      </w:r>
      <w:r w:rsidR="00C6359D" w:rsidRPr="00332DA8">
        <w:t>2</w:t>
      </w:r>
      <w:r w:rsidR="00962018">
        <w:t>3</w:t>
      </w:r>
      <w:r w:rsidRPr="00332DA8">
        <w:t xml:space="preserve">, the Double Up program </w:t>
      </w:r>
      <w:r w:rsidR="00ED4CF3">
        <w:t xml:space="preserve">again </w:t>
      </w:r>
      <w:r w:rsidRPr="00332DA8">
        <w:t xml:space="preserve">continued to grow in Colorado. </w:t>
      </w:r>
      <w:r w:rsidR="00ED4CF3">
        <w:t>Both t</w:t>
      </w:r>
      <w:r w:rsidR="00D17E14" w:rsidRPr="00332DA8">
        <w:t>he number of</w:t>
      </w:r>
      <w:r w:rsidRPr="00332DA8">
        <w:t xml:space="preserve"> </w:t>
      </w:r>
      <w:r w:rsidR="00332DA8">
        <w:t>Double Up sites</w:t>
      </w:r>
      <w:r w:rsidR="00302453" w:rsidRPr="00332DA8">
        <w:t xml:space="preserve"> and</w:t>
      </w:r>
      <w:r w:rsidR="006A1E93" w:rsidRPr="00332DA8">
        <w:t xml:space="preserve"> the</w:t>
      </w:r>
      <w:r w:rsidR="00302453" w:rsidRPr="00332DA8">
        <w:t xml:space="preserve"> total redeemed Double Up dollars</w:t>
      </w:r>
      <w:r w:rsidR="006A1E93" w:rsidRPr="00332DA8">
        <w:t xml:space="preserve"> </w:t>
      </w:r>
      <w:r w:rsidRPr="00332DA8">
        <w:t>increased</w:t>
      </w:r>
      <w:r w:rsidR="000007B9" w:rsidRPr="00332DA8">
        <w:t xml:space="preserve"> </w:t>
      </w:r>
      <w:r w:rsidR="00ED4CF3">
        <w:t xml:space="preserve">substantially </w:t>
      </w:r>
      <w:r w:rsidR="000007B9" w:rsidRPr="00332DA8">
        <w:t>relative to 20</w:t>
      </w:r>
      <w:r w:rsidR="00332DA8">
        <w:t>2</w:t>
      </w:r>
      <w:r w:rsidR="00ED4CF3">
        <w:t>1</w:t>
      </w:r>
      <w:r w:rsidRPr="00332DA8">
        <w:t xml:space="preserve">. </w:t>
      </w:r>
      <w:r w:rsidR="00ED4CF3">
        <w:t xml:space="preserve">Since P-EBT ended in the Summer of 2023 in Colorado, </w:t>
      </w:r>
      <w:r w:rsidR="00ED4CF3">
        <w:t>we may not have seen the total impact of pandemic-era assistance ending in these data</w:t>
      </w:r>
      <w:r w:rsidR="00ED4CF3">
        <w:t>. However, the increased number of vendors participating in the Double Up program and continued year-over-year growth are positive indicators for the performance of the Double Up program</w:t>
      </w:r>
      <w:r w:rsidR="003D5E3A" w:rsidRPr="00332DA8">
        <w:t xml:space="preserve">. </w:t>
      </w:r>
      <w:r w:rsidR="00ED4CF3">
        <w:t xml:space="preserve">When comparing Double Up redemption at </w:t>
      </w:r>
      <w:proofErr w:type="gramStart"/>
      <w:r w:rsidR="00ED4CF3">
        <w:t>brick and mortar</w:t>
      </w:r>
      <w:proofErr w:type="gramEnd"/>
      <w:r w:rsidR="00ED4CF3">
        <w:t xml:space="preserve"> stores to farm direct outlets, it is evident that brick and mortar stores are driving much of the expansion in the Double Up program, and fulfill a much-needed purpose of increasing affordability of fresh fruits and vegetables during the off-season of farmers markets. A future point of analysis might be to conduct the customer survey at two points of time during the year; once during the summer and once during the winter, for example. This would highlight the consumption behavior differences in Double Up customers’ who utilize brick and mortar stores vs. farmers markets. </w:t>
      </w:r>
    </w:p>
    <w:p w14:paraId="0AA99B33" w14:textId="52F0AB5F" w:rsidR="00ED4CF3" w:rsidRDefault="00ED4CF3" w:rsidP="00B5553C">
      <w:r>
        <w:t xml:space="preserve">While </w:t>
      </w:r>
      <w:proofErr w:type="gramStart"/>
      <w:r>
        <w:t>it is clear that the</w:t>
      </w:r>
      <w:proofErr w:type="gramEnd"/>
      <w:r>
        <w:t xml:space="preserve"> Double Up program is working to increase food and nutrition security, the majority of the survey sample continued to report experiencing food insecurity. One factor that Nourish/GUSNIP might consider is the “SNAP cycle”. If households are running out of benefits towards the end of the month, it could be beneficial to somehow incentivize redemption of Double Up bucks towards the end of the month. For example, a coupon for increased benefits at the next visit might accomplish something along these </w:t>
      </w:r>
      <w:proofErr w:type="gramStart"/>
      <w:r>
        <w:t>lines, and</w:t>
      </w:r>
      <w:proofErr w:type="gramEnd"/>
      <w:r>
        <w:t xml:space="preserve"> may also be popular with Brick and Mortar retailers. Another option might be to work with online food retailers, as the SNAP Online Purchasing Program allows SNAP participants to use benefits for online purchases. Online food shopping has not only been increasing substantially, but some literature has shown that online shopping for food-at-home results in more nutrient-dense and lower caloric levels of shopping baskets (Harris-</w:t>
      </w:r>
      <w:proofErr w:type="spellStart"/>
      <w:r>
        <w:t>Lagoudakis</w:t>
      </w:r>
      <w:proofErr w:type="spellEnd"/>
      <w:r>
        <w:t xml:space="preserve"> 2022). </w:t>
      </w:r>
    </w:p>
    <w:p w14:paraId="75EB349A" w14:textId="537B519C" w:rsidR="00ED4CF3" w:rsidRPr="003372B7" w:rsidRDefault="00ED4CF3" w:rsidP="00B5553C">
      <w:r>
        <w:t xml:space="preserve">Looking forward, a final recommendation for the survey collection would be to set quotas for various zip codes or Colorado regions. This way, the survey sample would be more likely to represent the population of Coloradans who participate in Double Up, and demographics may then be more aligned with SNAP-eligible Coloradans. </w:t>
      </w:r>
    </w:p>
    <w:p w14:paraId="05A677F5" w14:textId="02AA1B94" w:rsidR="00A02567" w:rsidRPr="003372B7" w:rsidRDefault="00D94266" w:rsidP="009C73F8">
      <w:r>
        <w:t xml:space="preserve">Despite having less information about </w:t>
      </w:r>
      <w:r w:rsidR="00ED4CF3">
        <w:t>firm type and vendor location this year</w:t>
      </w:r>
      <w:r w:rsidR="00B5553C" w:rsidRPr="003372B7">
        <w:t xml:space="preserve">, the Double Up program team will continue to refine and learn from the evaluation </w:t>
      </w:r>
      <w:proofErr w:type="gramStart"/>
      <w:r w:rsidR="00B5553C" w:rsidRPr="003372B7">
        <w:t>in order to</w:t>
      </w:r>
      <w:proofErr w:type="gramEnd"/>
      <w:r w:rsidR="00B5553C" w:rsidRPr="003372B7">
        <w:t xml:space="preserve"> best understand the impact of the program on Colorado SNAP recipients. </w:t>
      </w:r>
    </w:p>
    <w:p w14:paraId="77E07F20" w14:textId="77777777" w:rsidR="00A02567" w:rsidRPr="003372B7" w:rsidRDefault="00A02567" w:rsidP="003B1A73"/>
    <w:bookmarkStart w:id="10" w:name="_Toc109639732" w:displacedByCustomXml="next"/>
    <w:sdt>
      <w:sdtPr>
        <w:rPr>
          <w:rFonts w:asciiTheme="minorHAnsi" w:eastAsiaTheme="minorEastAsia" w:hAnsiTheme="minorHAnsi" w:cstheme="minorBidi"/>
          <w:b w:val="0"/>
          <w:bCs w:val="0"/>
          <w:sz w:val="24"/>
          <w:szCs w:val="24"/>
        </w:rPr>
        <w:id w:val="993761352"/>
        <w:docPartObj>
          <w:docPartGallery w:val="Bibliographies"/>
          <w:docPartUnique/>
        </w:docPartObj>
      </w:sdtPr>
      <w:sdtContent>
        <w:p w14:paraId="52FEFF07" w14:textId="3C138F76" w:rsidR="00A4089D" w:rsidRDefault="00A4089D">
          <w:pPr>
            <w:pStyle w:val="Heading1"/>
          </w:pPr>
          <w:r w:rsidRPr="003372B7">
            <w:t>References</w:t>
          </w:r>
          <w:bookmarkEnd w:id="10"/>
        </w:p>
        <w:p w14:paraId="31090A93" w14:textId="2F181245" w:rsidR="00073C58" w:rsidRPr="007F2A9F" w:rsidRDefault="00073C58" w:rsidP="00073C58">
          <w:pPr>
            <w:pStyle w:val="NormalWeb"/>
            <w:ind w:left="567" w:hanging="567"/>
          </w:pPr>
          <w:r>
            <w:t xml:space="preserve">Bryant, A., &amp; Follett, L. (2022, March 8). </w:t>
          </w:r>
          <w:r>
            <w:rPr>
              <w:i/>
              <w:iCs/>
            </w:rPr>
            <w:t>Hunger relief: A natural experiment from additional SNAP benefits during the COVID-19 pandemic</w:t>
          </w:r>
          <w:r>
            <w:t xml:space="preserve">. The Lancet Regional Health - Americas. Web accessed: https://www.sciencedirect.com/science/article/pii/S2667193X22000412 </w:t>
          </w:r>
        </w:p>
        <w:p w14:paraId="03FF1650" w14:textId="247C6B69" w:rsidR="00B57415" w:rsidRPr="003372B7" w:rsidRDefault="00B57415" w:rsidP="00B57415">
          <w:pPr>
            <w:pStyle w:val="Bibliography"/>
            <w:ind w:left="720" w:hanging="720"/>
            <w:rPr>
              <w:noProof/>
            </w:rPr>
          </w:pPr>
          <w:r w:rsidRPr="003372B7">
            <w:rPr>
              <w:noProof/>
            </w:rPr>
            <w:t xml:space="preserve">Center on Budget and Policy Priorities. (2018, December 3). </w:t>
          </w:r>
          <w:r w:rsidRPr="003372B7">
            <w:rPr>
              <w:i/>
              <w:iCs/>
              <w:noProof/>
            </w:rPr>
            <w:t>Colorado SNAP - CBPP Analysis of Data from USDA FNS, FY 2017.</w:t>
          </w:r>
          <w:r w:rsidRPr="003372B7">
            <w:rPr>
              <w:noProof/>
            </w:rPr>
            <w:t xml:space="preserve"> Retrieved from Center on Budget and Policy Priorities: https://www.cbpp.org/sites/default/files/atoms/files/snap_factsheet_colorado.pdf</w:t>
          </w:r>
        </w:p>
        <w:p w14:paraId="7DEA0BE4" w14:textId="77777777" w:rsidR="00073C58" w:rsidRDefault="00B57415" w:rsidP="000E5777">
          <w:pPr>
            <w:pStyle w:val="Bibliography"/>
            <w:ind w:left="720" w:hanging="720"/>
            <w:rPr>
              <w:noProof/>
            </w:rPr>
          </w:pPr>
          <w:r w:rsidRPr="003372B7">
            <w:rPr>
              <w:noProof/>
            </w:rPr>
            <w:lastRenderedPageBreak/>
            <w:t xml:space="preserve">U.S. Department of Agriculture, Food and Nutrition Service, Office of Policy Support. (2017). </w:t>
          </w:r>
          <w:r w:rsidRPr="003372B7">
            <w:rPr>
              <w:i/>
              <w:iCs/>
              <w:noProof/>
            </w:rPr>
            <w:t>Characteristics of Supplemental Nutrition Assistance Program Households: Fiscal Year 2016.</w:t>
          </w:r>
          <w:r w:rsidRPr="003372B7">
            <w:rPr>
              <w:noProof/>
            </w:rPr>
            <w:t xml:space="preserve"> Alexandria, VA: by Sarah Lauffer. Project Officer, Jenny Genser.</w:t>
          </w:r>
        </w:p>
        <w:p w14:paraId="16D72FBA" w14:textId="0A6B1059" w:rsidR="00073C58" w:rsidRPr="000E5777" w:rsidRDefault="00073C58" w:rsidP="00073C58">
          <w:pPr>
            <w:pStyle w:val="Bibliography"/>
            <w:ind w:left="720" w:hanging="720"/>
            <w:rPr>
              <w:b/>
              <w:bCs/>
              <w:noProof/>
            </w:rPr>
          </w:pPr>
          <w:r w:rsidRPr="003372B7">
            <w:rPr>
              <w:noProof/>
            </w:rPr>
            <w:t>U.S. Department of Agriculture (201</w:t>
          </w:r>
          <w:r>
            <w:rPr>
              <w:noProof/>
            </w:rPr>
            <w:t>2</w:t>
          </w:r>
          <w:r w:rsidRPr="003372B7">
            <w:rPr>
              <w:noProof/>
            </w:rPr>
            <w:t xml:space="preserve">). </w:t>
          </w:r>
          <w:r>
            <w:rPr>
              <w:i/>
              <w:iCs/>
              <w:noProof/>
            </w:rPr>
            <w:t>U.S. Household Food Security Survey Module</w:t>
          </w:r>
          <w:r w:rsidRPr="003372B7">
            <w:rPr>
              <w:i/>
              <w:iCs/>
              <w:noProof/>
            </w:rPr>
            <w:t>.</w:t>
          </w:r>
          <w:r w:rsidRPr="003372B7">
            <w:rPr>
              <w:noProof/>
            </w:rPr>
            <w:t xml:space="preserve"> </w:t>
          </w:r>
          <w:r>
            <w:rPr>
              <w:noProof/>
            </w:rPr>
            <w:t xml:space="preserve">United States Department of Agriculture Economic Research Service. </w:t>
          </w:r>
        </w:p>
        <w:p w14:paraId="078ED8F8" w14:textId="03841A1A" w:rsidR="000E5777" w:rsidRPr="00073C58" w:rsidRDefault="00000000" w:rsidP="00073C58"/>
      </w:sdtContent>
    </w:sdt>
    <w:p w14:paraId="7048CCBA" w14:textId="2D1856B3" w:rsidR="000E5777" w:rsidRDefault="000E5777" w:rsidP="000E5777"/>
    <w:p w14:paraId="19C2D511" w14:textId="77777777" w:rsidR="000E5777" w:rsidRPr="000E5777" w:rsidRDefault="000E5777" w:rsidP="000E5777"/>
    <w:sectPr w:rsidR="000E5777" w:rsidRPr="000E5777" w:rsidSect="00800CAE">
      <w:footerReference w:type="even" r:id="rId1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C562" w14:textId="77777777" w:rsidR="0027287F" w:rsidRDefault="0027287F" w:rsidP="00232F5C">
      <w:r>
        <w:separator/>
      </w:r>
    </w:p>
  </w:endnote>
  <w:endnote w:type="continuationSeparator" w:id="0">
    <w:p w14:paraId="60477F57" w14:textId="77777777" w:rsidR="0027287F" w:rsidRDefault="0027287F" w:rsidP="0023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GMinchoB">
    <w:altName w:val="Yu Gothic"/>
    <w:panose1 w:val="020B0604020202020204"/>
    <w:charset w:val="80"/>
    <w:family w:val="roman"/>
    <w:notTrueType/>
    <w:pitch w:val="default"/>
  </w:font>
  <w:font w:name="Cambria Bold">
    <w:altName w:val="Cambria"/>
    <w:panose1 w:val="020B0604020202020204"/>
    <w:charset w:val="00"/>
    <w:family w:val="auto"/>
    <w:pitch w:val="variable"/>
    <w:sig w:usb0="E00002FF" w:usb1="4000045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2F2F" w14:textId="76C090E6" w:rsidR="003C6E9C" w:rsidRDefault="003C6E9C" w:rsidP="00A400A5">
    <w:pPr>
      <w:pStyle w:val="Footer"/>
      <w:spacing w:before="0" w:after="0"/>
    </w:pPr>
    <w:r>
      <w:t xml:space="preserve"> </w:t>
    </w:r>
  </w:p>
  <w:tbl>
    <w:tblPr>
      <w:tblStyle w:val="LightShading-Accent1"/>
      <w:tblW w:w="0" w:type="auto"/>
      <w:jc w:val="center"/>
      <w:tblBorders>
        <w:top w:val="none" w:sz="0" w:space="0" w:color="auto"/>
        <w:left w:val="single" w:sz="8" w:space="0" w:color="FBE6CD" w:themeColor="accent1" w:themeTint="33"/>
        <w:bottom w:val="single" w:sz="18" w:space="0" w:color="E48312" w:themeColor="accent1"/>
        <w:right w:val="single" w:sz="8" w:space="0" w:color="FBE6CD" w:themeColor="accent1" w:themeTint="33"/>
      </w:tblBorders>
      <w:tblLook w:val="0600" w:firstRow="0" w:lastRow="0" w:firstColumn="0" w:lastColumn="0" w:noHBand="1" w:noVBand="1"/>
    </w:tblPr>
    <w:tblGrid>
      <w:gridCol w:w="720"/>
      <w:gridCol w:w="9720"/>
    </w:tblGrid>
    <w:tr w:rsidR="003C6E9C" w:rsidRPr="00A34517" w14:paraId="0862EB6B" w14:textId="77777777" w:rsidTr="00FE005E">
      <w:trPr>
        <w:jc w:val="center"/>
      </w:trPr>
      <w:tc>
        <w:tcPr>
          <w:tcW w:w="720" w:type="dxa"/>
          <w:tcBorders>
            <w:bottom w:val="single" w:sz="4" w:space="0" w:color="auto"/>
          </w:tcBorders>
          <w:shd w:val="clear" w:color="auto" w:fill="auto"/>
        </w:tcPr>
        <w:p w14:paraId="5483D1CC" w14:textId="28078B60" w:rsidR="003C6E9C" w:rsidRPr="00A34517" w:rsidRDefault="003C6E9C" w:rsidP="008D6601">
          <w:pPr>
            <w:spacing w:before="0" w:after="0"/>
            <w:jc w:val="center"/>
            <w:rPr>
              <w:b/>
              <w:color w:val="auto"/>
              <w:sz w:val="20"/>
              <w:szCs w:val="20"/>
            </w:rPr>
          </w:pPr>
          <w:r w:rsidRPr="00FE005E">
            <w:rPr>
              <w:b/>
              <w:color w:val="7F7F7F" w:themeColor="text1" w:themeTint="80"/>
              <w:sz w:val="22"/>
              <w:szCs w:val="20"/>
            </w:rPr>
            <w:fldChar w:fldCharType="begin"/>
          </w:r>
          <w:r w:rsidRPr="00FE005E">
            <w:rPr>
              <w:b/>
              <w:color w:val="7F7F7F" w:themeColor="text1" w:themeTint="80"/>
              <w:sz w:val="22"/>
              <w:szCs w:val="20"/>
            </w:rPr>
            <w:instrText xml:space="preserve"> PAGE   \* MERGEFORMAT </w:instrText>
          </w:r>
          <w:r w:rsidRPr="00FE005E">
            <w:rPr>
              <w:b/>
              <w:color w:val="7F7F7F" w:themeColor="text1" w:themeTint="80"/>
              <w:sz w:val="22"/>
              <w:szCs w:val="20"/>
            </w:rPr>
            <w:fldChar w:fldCharType="separate"/>
          </w:r>
          <w:r w:rsidR="0055695A">
            <w:rPr>
              <w:b/>
              <w:noProof/>
              <w:color w:val="7F7F7F" w:themeColor="text1" w:themeTint="80"/>
              <w:sz w:val="22"/>
              <w:szCs w:val="20"/>
            </w:rPr>
            <w:t>6</w:t>
          </w:r>
          <w:r w:rsidRPr="00FE005E">
            <w:rPr>
              <w:b/>
              <w:color w:val="7F7F7F" w:themeColor="text1" w:themeTint="80"/>
              <w:sz w:val="22"/>
              <w:szCs w:val="20"/>
            </w:rPr>
            <w:fldChar w:fldCharType="end"/>
          </w:r>
        </w:p>
      </w:tc>
      <w:tc>
        <w:tcPr>
          <w:tcW w:w="9720" w:type="dxa"/>
          <w:tcBorders>
            <w:bottom w:val="single" w:sz="4" w:space="0" w:color="auto"/>
          </w:tcBorders>
          <w:shd w:val="clear" w:color="auto" w:fill="auto"/>
        </w:tcPr>
        <w:p w14:paraId="60145DE4" w14:textId="1EF330ED" w:rsidR="003C6E9C" w:rsidRPr="00604C4B" w:rsidRDefault="00000000" w:rsidP="008D6601">
          <w:pPr>
            <w:spacing w:before="0" w:after="0"/>
            <w:rPr>
              <w:rFonts w:eastAsiaTheme="majorEastAsia" w:cstheme="majorBidi"/>
              <w:b/>
              <w:sz w:val="20"/>
              <w:szCs w:val="20"/>
              <w:bdr w:val="single" w:sz="4" w:space="0" w:color="FFFFFF" w:themeColor="background1"/>
            </w:rPr>
          </w:pPr>
          <w:sdt>
            <w:sdtPr>
              <w:rPr>
                <w:rFonts w:eastAsiaTheme="majorEastAsia" w:cstheme="majorBidi"/>
                <w:b/>
                <w:sz w:val="20"/>
                <w:szCs w:val="20"/>
                <w:bdr w:val="single" w:sz="4" w:space="0" w:color="FFFFFF" w:themeColor="background1"/>
              </w:rPr>
              <w:alias w:val="Title"/>
              <w:id w:val="175614342"/>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A90530">
                <w:rPr>
                  <w:rFonts w:eastAsiaTheme="majorEastAsia" w:cstheme="majorBidi"/>
                  <w:b/>
                  <w:sz w:val="20"/>
                  <w:szCs w:val="20"/>
                  <w:bdr w:val="single" w:sz="4" w:space="0" w:color="FFFFFF" w:themeColor="background1"/>
                </w:rPr>
                <w:t>Double Up Colorado 202</w:t>
              </w:r>
              <w:r w:rsidR="00B6283E">
                <w:rPr>
                  <w:rFonts w:eastAsiaTheme="majorEastAsia" w:cstheme="majorBidi"/>
                  <w:b/>
                  <w:sz w:val="20"/>
                  <w:szCs w:val="20"/>
                  <w:bdr w:val="single" w:sz="4" w:space="0" w:color="FFFFFF" w:themeColor="background1"/>
                </w:rPr>
                <w:t>3</w:t>
              </w:r>
              <w:r w:rsidR="00A90530">
                <w:rPr>
                  <w:rFonts w:eastAsiaTheme="majorEastAsia" w:cstheme="majorBidi"/>
                  <w:b/>
                  <w:sz w:val="20"/>
                  <w:szCs w:val="20"/>
                  <w:bdr w:val="single" w:sz="4" w:space="0" w:color="FFFFFF" w:themeColor="background1"/>
                </w:rPr>
                <w:t xml:space="preserve"> Evaluation</w:t>
              </w:r>
            </w:sdtContent>
          </w:sdt>
        </w:p>
      </w:tc>
    </w:tr>
  </w:tbl>
  <w:p w14:paraId="5DE6B527" w14:textId="77777777" w:rsidR="003C6E9C" w:rsidRDefault="003C6E9C" w:rsidP="00A400A5">
    <w:pPr>
      <w:pStyle w:val="Foote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C4B0" w14:textId="2819AEFE" w:rsidR="003C6E9C" w:rsidRDefault="003C6E9C" w:rsidP="00A400A5">
    <w:pPr>
      <w:pStyle w:val="Footer"/>
      <w:spacing w:before="0" w:after="0"/>
    </w:pPr>
    <w:r>
      <w:t xml:space="preserve"> </w:t>
    </w:r>
  </w:p>
  <w:tbl>
    <w:tblPr>
      <w:tblStyle w:val="LightShading-Accent1"/>
      <w:tblW w:w="10440" w:type="dxa"/>
      <w:jc w:val="center"/>
      <w:tblBorders>
        <w:top w:val="none" w:sz="0" w:space="0" w:color="auto"/>
        <w:left w:val="single" w:sz="8" w:space="0" w:color="FBE6CD" w:themeColor="accent1" w:themeTint="33"/>
        <w:bottom w:val="single" w:sz="18" w:space="0" w:color="E48312" w:themeColor="accent1"/>
        <w:right w:val="single" w:sz="8" w:space="0" w:color="FBE6CD" w:themeColor="accent1" w:themeTint="33"/>
      </w:tblBorders>
      <w:tblLook w:val="0600" w:firstRow="0" w:lastRow="0" w:firstColumn="0" w:lastColumn="0" w:noHBand="1" w:noVBand="1"/>
    </w:tblPr>
    <w:tblGrid>
      <w:gridCol w:w="9720"/>
      <w:gridCol w:w="720"/>
    </w:tblGrid>
    <w:tr w:rsidR="003C6E9C" w:rsidRPr="005D2ED4" w14:paraId="3DB32CE7" w14:textId="77777777" w:rsidTr="00734C04">
      <w:trPr>
        <w:jc w:val="center"/>
      </w:trPr>
      <w:tc>
        <w:tcPr>
          <w:tcW w:w="9720" w:type="dxa"/>
          <w:tcBorders>
            <w:bottom w:val="single" w:sz="4" w:space="0" w:color="auto"/>
          </w:tcBorders>
          <w:shd w:val="clear" w:color="auto" w:fill="auto"/>
        </w:tcPr>
        <w:p w14:paraId="7C5AFF24" w14:textId="383454AC" w:rsidR="003C6E9C" w:rsidRPr="005D2ED4" w:rsidRDefault="00000000" w:rsidP="008D6601">
          <w:pPr>
            <w:spacing w:before="0" w:after="0"/>
            <w:jc w:val="right"/>
            <w:rPr>
              <w:b/>
              <w:color w:val="auto"/>
              <w:sz w:val="20"/>
              <w:szCs w:val="20"/>
            </w:rPr>
          </w:pPr>
          <w:sdt>
            <w:sdtPr>
              <w:rPr>
                <w:rFonts w:eastAsiaTheme="majorEastAsia" w:cstheme="majorBidi"/>
                <w:b/>
                <w:sz w:val="20"/>
                <w:szCs w:val="20"/>
                <w:bdr w:val="single" w:sz="4" w:space="0" w:color="FFFFFF" w:themeColor="background1"/>
              </w:rPr>
              <w:alias w:val="Title"/>
              <w:id w:val="113565541"/>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962018">
                <w:rPr>
                  <w:rFonts w:eastAsiaTheme="majorEastAsia" w:cstheme="majorBidi"/>
                  <w:b/>
                  <w:sz w:val="20"/>
                  <w:szCs w:val="20"/>
                  <w:bdr w:val="single" w:sz="4" w:space="0" w:color="FFFFFF" w:themeColor="background1"/>
                </w:rPr>
                <w:t>Double Up Colorado 2023 Evaluation</w:t>
              </w:r>
            </w:sdtContent>
          </w:sdt>
        </w:p>
      </w:tc>
      <w:tc>
        <w:tcPr>
          <w:tcW w:w="720" w:type="dxa"/>
          <w:tcBorders>
            <w:bottom w:val="single" w:sz="4" w:space="0" w:color="auto"/>
          </w:tcBorders>
          <w:shd w:val="clear" w:color="auto" w:fill="auto"/>
        </w:tcPr>
        <w:p w14:paraId="49FB031C" w14:textId="1560D609" w:rsidR="003C6E9C" w:rsidRPr="005D2ED4" w:rsidRDefault="003C6E9C" w:rsidP="008D6601">
          <w:pPr>
            <w:spacing w:before="0" w:after="0"/>
            <w:jc w:val="center"/>
            <w:rPr>
              <w:rFonts w:eastAsiaTheme="majorEastAsia" w:cstheme="majorBidi"/>
              <w:b/>
              <w:color w:val="auto"/>
              <w:sz w:val="20"/>
              <w:szCs w:val="20"/>
              <w:bdr w:val="single" w:sz="4" w:space="0" w:color="FFFFFF" w:themeColor="background1"/>
            </w:rPr>
          </w:pPr>
          <w:r w:rsidRPr="00FE005E">
            <w:rPr>
              <w:b/>
              <w:color w:val="7F7F7F" w:themeColor="text1" w:themeTint="80"/>
              <w:sz w:val="22"/>
              <w:szCs w:val="20"/>
            </w:rPr>
            <w:fldChar w:fldCharType="begin"/>
          </w:r>
          <w:r w:rsidRPr="00FE005E">
            <w:rPr>
              <w:b/>
              <w:color w:val="7F7F7F" w:themeColor="text1" w:themeTint="80"/>
              <w:sz w:val="22"/>
              <w:szCs w:val="20"/>
            </w:rPr>
            <w:instrText xml:space="preserve"> PAGE   \* MERGEFORMAT </w:instrText>
          </w:r>
          <w:r w:rsidRPr="00FE005E">
            <w:rPr>
              <w:b/>
              <w:color w:val="7F7F7F" w:themeColor="text1" w:themeTint="80"/>
              <w:sz w:val="22"/>
              <w:szCs w:val="20"/>
            </w:rPr>
            <w:fldChar w:fldCharType="separate"/>
          </w:r>
          <w:r w:rsidR="0055695A">
            <w:rPr>
              <w:b/>
              <w:noProof/>
              <w:color w:val="7F7F7F" w:themeColor="text1" w:themeTint="80"/>
              <w:sz w:val="22"/>
              <w:szCs w:val="20"/>
            </w:rPr>
            <w:t>5</w:t>
          </w:r>
          <w:r w:rsidRPr="00FE005E">
            <w:rPr>
              <w:b/>
              <w:color w:val="7F7F7F" w:themeColor="text1" w:themeTint="80"/>
              <w:sz w:val="22"/>
              <w:szCs w:val="20"/>
            </w:rPr>
            <w:fldChar w:fldCharType="end"/>
          </w:r>
        </w:p>
      </w:tc>
    </w:tr>
  </w:tbl>
  <w:p w14:paraId="732D3365" w14:textId="77777777" w:rsidR="003C6E9C" w:rsidRDefault="003C6E9C" w:rsidP="00A400A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0D20" w14:textId="77777777" w:rsidR="0027287F" w:rsidRDefault="0027287F" w:rsidP="00232F5C">
      <w:r>
        <w:separator/>
      </w:r>
    </w:p>
  </w:footnote>
  <w:footnote w:type="continuationSeparator" w:id="0">
    <w:p w14:paraId="67468FB0" w14:textId="77777777" w:rsidR="0027287F" w:rsidRDefault="0027287F" w:rsidP="0023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FD"/>
    <w:multiLevelType w:val="hybridMultilevel"/>
    <w:tmpl w:val="65A2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18DA"/>
    <w:multiLevelType w:val="hybridMultilevel"/>
    <w:tmpl w:val="12665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03250"/>
    <w:multiLevelType w:val="hybridMultilevel"/>
    <w:tmpl w:val="EE1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A6C2B"/>
    <w:multiLevelType w:val="hybridMultilevel"/>
    <w:tmpl w:val="E3E4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C483E"/>
    <w:multiLevelType w:val="hybridMultilevel"/>
    <w:tmpl w:val="89249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32B59"/>
    <w:multiLevelType w:val="hybridMultilevel"/>
    <w:tmpl w:val="6810A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C2CBD"/>
    <w:multiLevelType w:val="hybridMultilevel"/>
    <w:tmpl w:val="26A61B72"/>
    <w:lvl w:ilvl="0" w:tplc="73808006">
      <w:start w:val="1"/>
      <w:numFmt w:val="upperRoman"/>
      <w:pStyle w:val="Heading1"/>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D19C0"/>
    <w:multiLevelType w:val="hybridMultilevel"/>
    <w:tmpl w:val="28B4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27A28"/>
    <w:multiLevelType w:val="hybridMultilevel"/>
    <w:tmpl w:val="3FA0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C444E"/>
    <w:multiLevelType w:val="hybridMultilevel"/>
    <w:tmpl w:val="2848A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067B1"/>
    <w:multiLevelType w:val="hybridMultilevel"/>
    <w:tmpl w:val="9502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033B5"/>
    <w:multiLevelType w:val="multilevel"/>
    <w:tmpl w:val="B3F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93A9A"/>
    <w:multiLevelType w:val="hybridMultilevel"/>
    <w:tmpl w:val="C8166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0028"/>
    <w:multiLevelType w:val="hybridMultilevel"/>
    <w:tmpl w:val="1526A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1E60AC"/>
    <w:multiLevelType w:val="hybridMultilevel"/>
    <w:tmpl w:val="E21E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7626"/>
    <w:multiLevelType w:val="hybridMultilevel"/>
    <w:tmpl w:val="B586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6953"/>
    <w:multiLevelType w:val="hybridMultilevel"/>
    <w:tmpl w:val="02A2481C"/>
    <w:lvl w:ilvl="0" w:tplc="B0401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17D26"/>
    <w:multiLevelType w:val="hybridMultilevel"/>
    <w:tmpl w:val="F71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67B82"/>
    <w:multiLevelType w:val="hybridMultilevel"/>
    <w:tmpl w:val="038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01EA7"/>
    <w:multiLevelType w:val="hybridMultilevel"/>
    <w:tmpl w:val="4B4E4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73BC3"/>
    <w:multiLevelType w:val="hybridMultilevel"/>
    <w:tmpl w:val="B6C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C6079"/>
    <w:multiLevelType w:val="hybridMultilevel"/>
    <w:tmpl w:val="4316357E"/>
    <w:lvl w:ilvl="0" w:tplc="B7BEA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D4597"/>
    <w:multiLevelType w:val="hybridMultilevel"/>
    <w:tmpl w:val="F7DC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518FA"/>
    <w:multiLevelType w:val="hybridMultilevel"/>
    <w:tmpl w:val="12A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15A85"/>
    <w:multiLevelType w:val="hybridMultilevel"/>
    <w:tmpl w:val="56F693CC"/>
    <w:lvl w:ilvl="0" w:tplc="3FD072EC">
      <w:start w:val="4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56F22"/>
    <w:multiLevelType w:val="hybridMultilevel"/>
    <w:tmpl w:val="7EC8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766B2"/>
    <w:multiLevelType w:val="hybridMultilevel"/>
    <w:tmpl w:val="FC44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529F3"/>
    <w:multiLevelType w:val="hybridMultilevel"/>
    <w:tmpl w:val="2F08B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659963">
    <w:abstractNumId w:val="6"/>
  </w:num>
  <w:num w:numId="2" w16cid:durableId="979730028">
    <w:abstractNumId w:val="6"/>
  </w:num>
  <w:num w:numId="3" w16cid:durableId="1515709">
    <w:abstractNumId w:val="6"/>
  </w:num>
  <w:num w:numId="4" w16cid:durableId="434133399">
    <w:abstractNumId w:val="13"/>
  </w:num>
  <w:num w:numId="5" w16cid:durableId="1505242673">
    <w:abstractNumId w:val="16"/>
  </w:num>
  <w:num w:numId="6" w16cid:durableId="4525074">
    <w:abstractNumId w:val="19"/>
  </w:num>
  <w:num w:numId="7" w16cid:durableId="2903014">
    <w:abstractNumId w:val="7"/>
  </w:num>
  <w:num w:numId="8" w16cid:durableId="1588419067">
    <w:abstractNumId w:val="25"/>
  </w:num>
  <w:num w:numId="9" w16cid:durableId="619992494">
    <w:abstractNumId w:val="4"/>
  </w:num>
  <w:num w:numId="10" w16cid:durableId="1359164804">
    <w:abstractNumId w:val="3"/>
  </w:num>
  <w:num w:numId="11" w16cid:durableId="855775248">
    <w:abstractNumId w:val="27"/>
  </w:num>
  <w:num w:numId="12" w16cid:durableId="1641840279">
    <w:abstractNumId w:val="5"/>
  </w:num>
  <w:num w:numId="13" w16cid:durableId="789934290">
    <w:abstractNumId w:val="10"/>
  </w:num>
  <w:num w:numId="14" w16cid:durableId="1313172556">
    <w:abstractNumId w:val="15"/>
  </w:num>
  <w:num w:numId="15" w16cid:durableId="376853576">
    <w:abstractNumId w:val="26"/>
  </w:num>
  <w:num w:numId="16" w16cid:durableId="466363070">
    <w:abstractNumId w:val="18"/>
  </w:num>
  <w:num w:numId="17" w16cid:durableId="1528329422">
    <w:abstractNumId w:val="2"/>
  </w:num>
  <w:num w:numId="18" w16cid:durableId="1990597338">
    <w:abstractNumId w:val="17"/>
  </w:num>
  <w:num w:numId="19" w16cid:durableId="727604892">
    <w:abstractNumId w:val="8"/>
  </w:num>
  <w:num w:numId="20" w16cid:durableId="2131976117">
    <w:abstractNumId w:val="20"/>
  </w:num>
  <w:num w:numId="21" w16cid:durableId="1202287326">
    <w:abstractNumId w:val="0"/>
  </w:num>
  <w:num w:numId="22" w16cid:durableId="1973318324">
    <w:abstractNumId w:val="22"/>
  </w:num>
  <w:num w:numId="23" w16cid:durableId="905801811">
    <w:abstractNumId w:val="12"/>
  </w:num>
  <w:num w:numId="24" w16cid:durableId="1518076009">
    <w:abstractNumId w:val="21"/>
  </w:num>
  <w:num w:numId="25" w16cid:durableId="2090808016">
    <w:abstractNumId w:val="1"/>
  </w:num>
  <w:num w:numId="26" w16cid:durableId="325404284">
    <w:abstractNumId w:val="14"/>
  </w:num>
  <w:num w:numId="27" w16cid:durableId="1603680039">
    <w:abstractNumId w:val="24"/>
  </w:num>
  <w:num w:numId="28" w16cid:durableId="1565991263">
    <w:abstractNumId w:val="23"/>
  </w:num>
  <w:num w:numId="29" w16cid:durableId="1971476873">
    <w:abstractNumId w:val="9"/>
  </w:num>
  <w:num w:numId="30" w16cid:durableId="801769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2E"/>
    <w:rsid w:val="000007B9"/>
    <w:rsid w:val="00002FB6"/>
    <w:rsid w:val="000033A7"/>
    <w:rsid w:val="00010B43"/>
    <w:rsid w:val="00010D9F"/>
    <w:rsid w:val="000119A2"/>
    <w:rsid w:val="0002045A"/>
    <w:rsid w:val="00021BAA"/>
    <w:rsid w:val="00030B74"/>
    <w:rsid w:val="00044EC6"/>
    <w:rsid w:val="000509C7"/>
    <w:rsid w:val="00060A1F"/>
    <w:rsid w:val="00065B4D"/>
    <w:rsid w:val="000731E1"/>
    <w:rsid w:val="00073C58"/>
    <w:rsid w:val="000741CC"/>
    <w:rsid w:val="000743B4"/>
    <w:rsid w:val="00074816"/>
    <w:rsid w:val="00074E97"/>
    <w:rsid w:val="0007649E"/>
    <w:rsid w:val="0007766F"/>
    <w:rsid w:val="000816FE"/>
    <w:rsid w:val="00092DD3"/>
    <w:rsid w:val="0009392D"/>
    <w:rsid w:val="000968F2"/>
    <w:rsid w:val="000977E0"/>
    <w:rsid w:val="000A2A0C"/>
    <w:rsid w:val="000B2C46"/>
    <w:rsid w:val="000C53D0"/>
    <w:rsid w:val="000C71FE"/>
    <w:rsid w:val="000E22E8"/>
    <w:rsid w:val="000E5777"/>
    <w:rsid w:val="000E7FA2"/>
    <w:rsid w:val="000F5376"/>
    <w:rsid w:val="000F548A"/>
    <w:rsid w:val="000F66BD"/>
    <w:rsid w:val="0010337A"/>
    <w:rsid w:val="001051B0"/>
    <w:rsid w:val="0011178D"/>
    <w:rsid w:val="00113545"/>
    <w:rsid w:val="00113E02"/>
    <w:rsid w:val="00116506"/>
    <w:rsid w:val="00117B65"/>
    <w:rsid w:val="001200E2"/>
    <w:rsid w:val="00123860"/>
    <w:rsid w:val="00131F0F"/>
    <w:rsid w:val="00134C8E"/>
    <w:rsid w:val="001373EC"/>
    <w:rsid w:val="00137871"/>
    <w:rsid w:val="00141CFD"/>
    <w:rsid w:val="00142252"/>
    <w:rsid w:val="00143EC0"/>
    <w:rsid w:val="00144290"/>
    <w:rsid w:val="001447F3"/>
    <w:rsid w:val="0014769C"/>
    <w:rsid w:val="001566C6"/>
    <w:rsid w:val="001606B4"/>
    <w:rsid w:val="00161283"/>
    <w:rsid w:val="001629D7"/>
    <w:rsid w:val="0016406E"/>
    <w:rsid w:val="001644F9"/>
    <w:rsid w:val="00164C3F"/>
    <w:rsid w:val="00172573"/>
    <w:rsid w:val="001738ED"/>
    <w:rsid w:val="0017672B"/>
    <w:rsid w:val="0019317C"/>
    <w:rsid w:val="00197EC4"/>
    <w:rsid w:val="001A7B23"/>
    <w:rsid w:val="001B2B36"/>
    <w:rsid w:val="001C048E"/>
    <w:rsid w:val="001D063F"/>
    <w:rsid w:val="001D195E"/>
    <w:rsid w:val="001D6B95"/>
    <w:rsid w:val="001E14FD"/>
    <w:rsid w:val="001E48C4"/>
    <w:rsid w:val="001E7F67"/>
    <w:rsid w:val="001F1DD8"/>
    <w:rsid w:val="001F6BB9"/>
    <w:rsid w:val="00202B18"/>
    <w:rsid w:val="00214F35"/>
    <w:rsid w:val="00231C49"/>
    <w:rsid w:val="00232F5C"/>
    <w:rsid w:val="00241E27"/>
    <w:rsid w:val="0024702B"/>
    <w:rsid w:val="0025449B"/>
    <w:rsid w:val="00271D1C"/>
    <w:rsid w:val="0027287F"/>
    <w:rsid w:val="00276672"/>
    <w:rsid w:val="00287F22"/>
    <w:rsid w:val="00291A86"/>
    <w:rsid w:val="00297BC2"/>
    <w:rsid w:val="002A125B"/>
    <w:rsid w:val="002A186A"/>
    <w:rsid w:val="002A666B"/>
    <w:rsid w:val="002B2031"/>
    <w:rsid w:val="002B3BC5"/>
    <w:rsid w:val="002B6A5E"/>
    <w:rsid w:val="002D3900"/>
    <w:rsid w:val="002D41C3"/>
    <w:rsid w:val="002D6E62"/>
    <w:rsid w:val="002E1872"/>
    <w:rsid w:val="002E6A3F"/>
    <w:rsid w:val="002F61F4"/>
    <w:rsid w:val="002F6BAB"/>
    <w:rsid w:val="002F7E3B"/>
    <w:rsid w:val="003011DF"/>
    <w:rsid w:val="00302453"/>
    <w:rsid w:val="0030686B"/>
    <w:rsid w:val="00306B4B"/>
    <w:rsid w:val="003110FD"/>
    <w:rsid w:val="00311AB2"/>
    <w:rsid w:val="0031250A"/>
    <w:rsid w:val="00314B32"/>
    <w:rsid w:val="00315C74"/>
    <w:rsid w:val="00316EF3"/>
    <w:rsid w:val="0032229A"/>
    <w:rsid w:val="00331ABE"/>
    <w:rsid w:val="00332DA8"/>
    <w:rsid w:val="003349AB"/>
    <w:rsid w:val="003363C1"/>
    <w:rsid w:val="003372B7"/>
    <w:rsid w:val="00342010"/>
    <w:rsid w:val="003459AE"/>
    <w:rsid w:val="00357279"/>
    <w:rsid w:val="00362A30"/>
    <w:rsid w:val="003766A7"/>
    <w:rsid w:val="00385570"/>
    <w:rsid w:val="0038782F"/>
    <w:rsid w:val="00390631"/>
    <w:rsid w:val="00390CAF"/>
    <w:rsid w:val="00392EE5"/>
    <w:rsid w:val="0039511E"/>
    <w:rsid w:val="00395998"/>
    <w:rsid w:val="003A2604"/>
    <w:rsid w:val="003B1A73"/>
    <w:rsid w:val="003B6C6D"/>
    <w:rsid w:val="003C1C09"/>
    <w:rsid w:val="003C6E9C"/>
    <w:rsid w:val="003C6FDB"/>
    <w:rsid w:val="003C7325"/>
    <w:rsid w:val="003D1635"/>
    <w:rsid w:val="003D27D3"/>
    <w:rsid w:val="003D5E3A"/>
    <w:rsid w:val="003E4435"/>
    <w:rsid w:val="003F05E8"/>
    <w:rsid w:val="003F377C"/>
    <w:rsid w:val="00403FFA"/>
    <w:rsid w:val="00405DA8"/>
    <w:rsid w:val="0040686B"/>
    <w:rsid w:val="00407F5F"/>
    <w:rsid w:val="004166FD"/>
    <w:rsid w:val="00432D36"/>
    <w:rsid w:val="00434206"/>
    <w:rsid w:val="00435A70"/>
    <w:rsid w:val="00436D40"/>
    <w:rsid w:val="00440DE1"/>
    <w:rsid w:val="004435FC"/>
    <w:rsid w:val="004444B1"/>
    <w:rsid w:val="00446D14"/>
    <w:rsid w:val="004477E5"/>
    <w:rsid w:val="00452048"/>
    <w:rsid w:val="00454149"/>
    <w:rsid w:val="00454331"/>
    <w:rsid w:val="00455D64"/>
    <w:rsid w:val="004571DB"/>
    <w:rsid w:val="0046406C"/>
    <w:rsid w:val="004769CF"/>
    <w:rsid w:val="00477367"/>
    <w:rsid w:val="00477BC1"/>
    <w:rsid w:val="0048225C"/>
    <w:rsid w:val="00487E19"/>
    <w:rsid w:val="00491DB9"/>
    <w:rsid w:val="00497DE7"/>
    <w:rsid w:val="004A2D69"/>
    <w:rsid w:val="004F33F9"/>
    <w:rsid w:val="004F739D"/>
    <w:rsid w:val="0050143E"/>
    <w:rsid w:val="00521455"/>
    <w:rsid w:val="00521668"/>
    <w:rsid w:val="00523B5F"/>
    <w:rsid w:val="00525B02"/>
    <w:rsid w:val="00534E1B"/>
    <w:rsid w:val="0054124E"/>
    <w:rsid w:val="00543736"/>
    <w:rsid w:val="005463EB"/>
    <w:rsid w:val="0055695A"/>
    <w:rsid w:val="00560316"/>
    <w:rsid w:val="00575970"/>
    <w:rsid w:val="00584B3D"/>
    <w:rsid w:val="00594B8E"/>
    <w:rsid w:val="005A25EB"/>
    <w:rsid w:val="005B4F2D"/>
    <w:rsid w:val="005B5533"/>
    <w:rsid w:val="005B6344"/>
    <w:rsid w:val="005C712A"/>
    <w:rsid w:val="005C719F"/>
    <w:rsid w:val="005D1901"/>
    <w:rsid w:val="005E1D6A"/>
    <w:rsid w:val="005E7931"/>
    <w:rsid w:val="005F4BCA"/>
    <w:rsid w:val="005F5BBA"/>
    <w:rsid w:val="005F65A1"/>
    <w:rsid w:val="00602DD6"/>
    <w:rsid w:val="00605E53"/>
    <w:rsid w:val="0061139A"/>
    <w:rsid w:val="00612CFD"/>
    <w:rsid w:val="0062140C"/>
    <w:rsid w:val="006224A6"/>
    <w:rsid w:val="0062565D"/>
    <w:rsid w:val="0062621C"/>
    <w:rsid w:val="00626852"/>
    <w:rsid w:val="00626A76"/>
    <w:rsid w:val="00630592"/>
    <w:rsid w:val="00640C3A"/>
    <w:rsid w:val="006433E0"/>
    <w:rsid w:val="00645F12"/>
    <w:rsid w:val="00651732"/>
    <w:rsid w:val="00664945"/>
    <w:rsid w:val="00671D74"/>
    <w:rsid w:val="0068358A"/>
    <w:rsid w:val="00686725"/>
    <w:rsid w:val="00687283"/>
    <w:rsid w:val="00694E3D"/>
    <w:rsid w:val="006A0719"/>
    <w:rsid w:val="006A1E93"/>
    <w:rsid w:val="006A5F60"/>
    <w:rsid w:val="006A77A0"/>
    <w:rsid w:val="006A78D9"/>
    <w:rsid w:val="006A7A48"/>
    <w:rsid w:val="006B1CAE"/>
    <w:rsid w:val="006C047F"/>
    <w:rsid w:val="006C5094"/>
    <w:rsid w:val="006C5CCF"/>
    <w:rsid w:val="006D26E6"/>
    <w:rsid w:val="006D3BBA"/>
    <w:rsid w:val="006D7231"/>
    <w:rsid w:val="006E0B79"/>
    <w:rsid w:val="006E2A41"/>
    <w:rsid w:val="006E3154"/>
    <w:rsid w:val="006E6D1E"/>
    <w:rsid w:val="006F443A"/>
    <w:rsid w:val="00715FD2"/>
    <w:rsid w:val="00723E4A"/>
    <w:rsid w:val="007317ED"/>
    <w:rsid w:val="00733BF7"/>
    <w:rsid w:val="00733BF9"/>
    <w:rsid w:val="00734B83"/>
    <w:rsid w:val="00734C04"/>
    <w:rsid w:val="00735D2E"/>
    <w:rsid w:val="00741152"/>
    <w:rsid w:val="0074193C"/>
    <w:rsid w:val="0074235D"/>
    <w:rsid w:val="0074794E"/>
    <w:rsid w:val="0075190D"/>
    <w:rsid w:val="007531F8"/>
    <w:rsid w:val="00767409"/>
    <w:rsid w:val="00770FA6"/>
    <w:rsid w:val="00771D82"/>
    <w:rsid w:val="00772180"/>
    <w:rsid w:val="007751B6"/>
    <w:rsid w:val="00787D83"/>
    <w:rsid w:val="007938B5"/>
    <w:rsid w:val="007977B3"/>
    <w:rsid w:val="007B7185"/>
    <w:rsid w:val="007C1B0D"/>
    <w:rsid w:val="007E4146"/>
    <w:rsid w:val="007E4288"/>
    <w:rsid w:val="007E5FDC"/>
    <w:rsid w:val="007F0671"/>
    <w:rsid w:val="007F0870"/>
    <w:rsid w:val="007F2299"/>
    <w:rsid w:val="007F2A9F"/>
    <w:rsid w:val="007F5E6C"/>
    <w:rsid w:val="00800CAE"/>
    <w:rsid w:val="008017A5"/>
    <w:rsid w:val="00805650"/>
    <w:rsid w:val="00806437"/>
    <w:rsid w:val="008070CF"/>
    <w:rsid w:val="0081207A"/>
    <w:rsid w:val="008170D3"/>
    <w:rsid w:val="0081797E"/>
    <w:rsid w:val="00822201"/>
    <w:rsid w:val="0082648A"/>
    <w:rsid w:val="0083482E"/>
    <w:rsid w:val="00836F6D"/>
    <w:rsid w:val="00837798"/>
    <w:rsid w:val="00843B38"/>
    <w:rsid w:val="0084521A"/>
    <w:rsid w:val="00851D1E"/>
    <w:rsid w:val="008617B4"/>
    <w:rsid w:val="008727CD"/>
    <w:rsid w:val="0087552F"/>
    <w:rsid w:val="00880EF1"/>
    <w:rsid w:val="00880F77"/>
    <w:rsid w:val="00883ACA"/>
    <w:rsid w:val="0089130C"/>
    <w:rsid w:val="0089186E"/>
    <w:rsid w:val="008A1D2A"/>
    <w:rsid w:val="008A61A7"/>
    <w:rsid w:val="008A75F4"/>
    <w:rsid w:val="008B2483"/>
    <w:rsid w:val="008B7D28"/>
    <w:rsid w:val="008C4F23"/>
    <w:rsid w:val="008C501E"/>
    <w:rsid w:val="008D4B82"/>
    <w:rsid w:val="008D6601"/>
    <w:rsid w:val="008E6EFE"/>
    <w:rsid w:val="008F0382"/>
    <w:rsid w:val="008F4592"/>
    <w:rsid w:val="008F58EE"/>
    <w:rsid w:val="008F5DE8"/>
    <w:rsid w:val="0090143C"/>
    <w:rsid w:val="00904E6A"/>
    <w:rsid w:val="00905F30"/>
    <w:rsid w:val="00912ED6"/>
    <w:rsid w:val="00913A16"/>
    <w:rsid w:val="00926ADF"/>
    <w:rsid w:val="00934DE2"/>
    <w:rsid w:val="0093704D"/>
    <w:rsid w:val="0093724D"/>
    <w:rsid w:val="009442E9"/>
    <w:rsid w:val="00946A37"/>
    <w:rsid w:val="00951348"/>
    <w:rsid w:val="0095734C"/>
    <w:rsid w:val="00962018"/>
    <w:rsid w:val="00971209"/>
    <w:rsid w:val="00971AC2"/>
    <w:rsid w:val="00982C36"/>
    <w:rsid w:val="00983944"/>
    <w:rsid w:val="00990680"/>
    <w:rsid w:val="009A7EC3"/>
    <w:rsid w:val="009B5777"/>
    <w:rsid w:val="009B7161"/>
    <w:rsid w:val="009C39DC"/>
    <w:rsid w:val="009C4F26"/>
    <w:rsid w:val="009C6E54"/>
    <w:rsid w:val="009C73F8"/>
    <w:rsid w:val="009D1E0C"/>
    <w:rsid w:val="009D3784"/>
    <w:rsid w:val="009E2C26"/>
    <w:rsid w:val="009E7C07"/>
    <w:rsid w:val="009E7DBA"/>
    <w:rsid w:val="009F7229"/>
    <w:rsid w:val="009F7525"/>
    <w:rsid w:val="009F7C68"/>
    <w:rsid w:val="00A0210A"/>
    <w:rsid w:val="00A02567"/>
    <w:rsid w:val="00A16816"/>
    <w:rsid w:val="00A1753C"/>
    <w:rsid w:val="00A252B3"/>
    <w:rsid w:val="00A32066"/>
    <w:rsid w:val="00A400A5"/>
    <w:rsid w:val="00A4089D"/>
    <w:rsid w:val="00A425A9"/>
    <w:rsid w:val="00A42DC3"/>
    <w:rsid w:val="00A43BA8"/>
    <w:rsid w:val="00A44F9C"/>
    <w:rsid w:val="00A624A0"/>
    <w:rsid w:val="00A64713"/>
    <w:rsid w:val="00A652BD"/>
    <w:rsid w:val="00A844BF"/>
    <w:rsid w:val="00A90530"/>
    <w:rsid w:val="00A9332C"/>
    <w:rsid w:val="00A9333D"/>
    <w:rsid w:val="00A97D31"/>
    <w:rsid w:val="00AA03AA"/>
    <w:rsid w:val="00AA1200"/>
    <w:rsid w:val="00AA2EDF"/>
    <w:rsid w:val="00AA61D8"/>
    <w:rsid w:val="00AA7F8F"/>
    <w:rsid w:val="00AB4CAE"/>
    <w:rsid w:val="00AB5AB1"/>
    <w:rsid w:val="00AB6163"/>
    <w:rsid w:val="00AC4A3E"/>
    <w:rsid w:val="00AD1B7D"/>
    <w:rsid w:val="00AD7A6C"/>
    <w:rsid w:val="00AE7361"/>
    <w:rsid w:val="00AF2CF7"/>
    <w:rsid w:val="00B10E0A"/>
    <w:rsid w:val="00B10E31"/>
    <w:rsid w:val="00B1168A"/>
    <w:rsid w:val="00B145CA"/>
    <w:rsid w:val="00B16339"/>
    <w:rsid w:val="00B17A9D"/>
    <w:rsid w:val="00B25991"/>
    <w:rsid w:val="00B27924"/>
    <w:rsid w:val="00B30B21"/>
    <w:rsid w:val="00B40CEA"/>
    <w:rsid w:val="00B41D93"/>
    <w:rsid w:val="00B45A35"/>
    <w:rsid w:val="00B5038B"/>
    <w:rsid w:val="00B5156D"/>
    <w:rsid w:val="00B5235C"/>
    <w:rsid w:val="00B55118"/>
    <w:rsid w:val="00B5553C"/>
    <w:rsid w:val="00B57415"/>
    <w:rsid w:val="00B6283E"/>
    <w:rsid w:val="00B641CA"/>
    <w:rsid w:val="00B64D27"/>
    <w:rsid w:val="00B678D0"/>
    <w:rsid w:val="00B705CE"/>
    <w:rsid w:val="00B76312"/>
    <w:rsid w:val="00B84DAB"/>
    <w:rsid w:val="00B90D98"/>
    <w:rsid w:val="00B91D63"/>
    <w:rsid w:val="00B94764"/>
    <w:rsid w:val="00B953E6"/>
    <w:rsid w:val="00BA4759"/>
    <w:rsid w:val="00BB4787"/>
    <w:rsid w:val="00BB6C8D"/>
    <w:rsid w:val="00BD236C"/>
    <w:rsid w:val="00BD2FEA"/>
    <w:rsid w:val="00BD5644"/>
    <w:rsid w:val="00BE7130"/>
    <w:rsid w:val="00BF32E2"/>
    <w:rsid w:val="00BF49A5"/>
    <w:rsid w:val="00C01683"/>
    <w:rsid w:val="00C045B9"/>
    <w:rsid w:val="00C06118"/>
    <w:rsid w:val="00C06EBF"/>
    <w:rsid w:val="00C14CDD"/>
    <w:rsid w:val="00C1593E"/>
    <w:rsid w:val="00C15C4D"/>
    <w:rsid w:val="00C232E4"/>
    <w:rsid w:val="00C24A93"/>
    <w:rsid w:val="00C32CCF"/>
    <w:rsid w:val="00C37D6F"/>
    <w:rsid w:val="00C424CC"/>
    <w:rsid w:val="00C42F8F"/>
    <w:rsid w:val="00C43353"/>
    <w:rsid w:val="00C544B3"/>
    <w:rsid w:val="00C56958"/>
    <w:rsid w:val="00C56C4E"/>
    <w:rsid w:val="00C606CB"/>
    <w:rsid w:val="00C6359D"/>
    <w:rsid w:val="00C63C5C"/>
    <w:rsid w:val="00C673F8"/>
    <w:rsid w:val="00C7200B"/>
    <w:rsid w:val="00C866EE"/>
    <w:rsid w:val="00CA170E"/>
    <w:rsid w:val="00CA4E97"/>
    <w:rsid w:val="00CA626E"/>
    <w:rsid w:val="00CA6CE1"/>
    <w:rsid w:val="00CA7257"/>
    <w:rsid w:val="00CB16D8"/>
    <w:rsid w:val="00CB17B5"/>
    <w:rsid w:val="00CB6472"/>
    <w:rsid w:val="00CB7F25"/>
    <w:rsid w:val="00CC01CD"/>
    <w:rsid w:val="00CC1E97"/>
    <w:rsid w:val="00CC62D9"/>
    <w:rsid w:val="00CC66DE"/>
    <w:rsid w:val="00CD0EFF"/>
    <w:rsid w:val="00CD687C"/>
    <w:rsid w:val="00CD7B47"/>
    <w:rsid w:val="00CD7BFC"/>
    <w:rsid w:val="00D00963"/>
    <w:rsid w:val="00D0139D"/>
    <w:rsid w:val="00D0595A"/>
    <w:rsid w:val="00D06555"/>
    <w:rsid w:val="00D129FC"/>
    <w:rsid w:val="00D15EAF"/>
    <w:rsid w:val="00D17E14"/>
    <w:rsid w:val="00D2672B"/>
    <w:rsid w:val="00D357FD"/>
    <w:rsid w:val="00D44F3A"/>
    <w:rsid w:val="00D5055A"/>
    <w:rsid w:val="00D53341"/>
    <w:rsid w:val="00D54E6E"/>
    <w:rsid w:val="00D557CA"/>
    <w:rsid w:val="00D62C21"/>
    <w:rsid w:val="00D63E7B"/>
    <w:rsid w:val="00D65A79"/>
    <w:rsid w:val="00D71E81"/>
    <w:rsid w:val="00D76BDE"/>
    <w:rsid w:val="00D8125E"/>
    <w:rsid w:val="00D81EB4"/>
    <w:rsid w:val="00D94266"/>
    <w:rsid w:val="00D94F85"/>
    <w:rsid w:val="00DA03CE"/>
    <w:rsid w:val="00DA1E11"/>
    <w:rsid w:val="00DA3F47"/>
    <w:rsid w:val="00DA5C0D"/>
    <w:rsid w:val="00DB4958"/>
    <w:rsid w:val="00DB544A"/>
    <w:rsid w:val="00DC012F"/>
    <w:rsid w:val="00DD057C"/>
    <w:rsid w:val="00DD05FB"/>
    <w:rsid w:val="00DD7201"/>
    <w:rsid w:val="00DD79BA"/>
    <w:rsid w:val="00DF0A3D"/>
    <w:rsid w:val="00DF5123"/>
    <w:rsid w:val="00DF7015"/>
    <w:rsid w:val="00DF7D3C"/>
    <w:rsid w:val="00E00879"/>
    <w:rsid w:val="00E01B56"/>
    <w:rsid w:val="00E062B9"/>
    <w:rsid w:val="00E07150"/>
    <w:rsid w:val="00E11C2B"/>
    <w:rsid w:val="00E16C15"/>
    <w:rsid w:val="00E2094D"/>
    <w:rsid w:val="00E35D23"/>
    <w:rsid w:val="00E41EFD"/>
    <w:rsid w:val="00E4260D"/>
    <w:rsid w:val="00E460C0"/>
    <w:rsid w:val="00E52003"/>
    <w:rsid w:val="00E53DC3"/>
    <w:rsid w:val="00E55FE1"/>
    <w:rsid w:val="00E6461A"/>
    <w:rsid w:val="00E647EE"/>
    <w:rsid w:val="00E64B21"/>
    <w:rsid w:val="00E8358B"/>
    <w:rsid w:val="00E846F6"/>
    <w:rsid w:val="00E85163"/>
    <w:rsid w:val="00E851F9"/>
    <w:rsid w:val="00EA16C6"/>
    <w:rsid w:val="00EA766D"/>
    <w:rsid w:val="00EB05C4"/>
    <w:rsid w:val="00EB6017"/>
    <w:rsid w:val="00EB6F3D"/>
    <w:rsid w:val="00EB7D32"/>
    <w:rsid w:val="00EC02A9"/>
    <w:rsid w:val="00EC3F49"/>
    <w:rsid w:val="00EC4B1A"/>
    <w:rsid w:val="00EC6379"/>
    <w:rsid w:val="00EC71D5"/>
    <w:rsid w:val="00ED4CF3"/>
    <w:rsid w:val="00EE10F5"/>
    <w:rsid w:val="00EE11F7"/>
    <w:rsid w:val="00EE1457"/>
    <w:rsid w:val="00EE2F1F"/>
    <w:rsid w:val="00EE51A6"/>
    <w:rsid w:val="00EE5982"/>
    <w:rsid w:val="00EE6DC6"/>
    <w:rsid w:val="00EF1889"/>
    <w:rsid w:val="00EF2C27"/>
    <w:rsid w:val="00EF64FE"/>
    <w:rsid w:val="00EF740F"/>
    <w:rsid w:val="00F0711C"/>
    <w:rsid w:val="00F1372E"/>
    <w:rsid w:val="00F14A6A"/>
    <w:rsid w:val="00F242E6"/>
    <w:rsid w:val="00F25253"/>
    <w:rsid w:val="00F26916"/>
    <w:rsid w:val="00F35963"/>
    <w:rsid w:val="00F36C30"/>
    <w:rsid w:val="00F50762"/>
    <w:rsid w:val="00F531C6"/>
    <w:rsid w:val="00F556C1"/>
    <w:rsid w:val="00F55B0D"/>
    <w:rsid w:val="00F5782E"/>
    <w:rsid w:val="00F6538C"/>
    <w:rsid w:val="00F71C19"/>
    <w:rsid w:val="00F72533"/>
    <w:rsid w:val="00F803BB"/>
    <w:rsid w:val="00F860B4"/>
    <w:rsid w:val="00F9083C"/>
    <w:rsid w:val="00F9608B"/>
    <w:rsid w:val="00F96545"/>
    <w:rsid w:val="00FA3FC5"/>
    <w:rsid w:val="00FB1A29"/>
    <w:rsid w:val="00FB3B2B"/>
    <w:rsid w:val="00FB4F23"/>
    <w:rsid w:val="00FC29F5"/>
    <w:rsid w:val="00FC76A8"/>
    <w:rsid w:val="00FD227C"/>
    <w:rsid w:val="00FD38A7"/>
    <w:rsid w:val="00FD6811"/>
    <w:rsid w:val="00FE005E"/>
    <w:rsid w:val="00FE0A1A"/>
    <w:rsid w:val="00FE2CC7"/>
    <w:rsid w:val="00FE7081"/>
    <w:rsid w:val="00FF07DD"/>
    <w:rsid w:val="00FF2661"/>
    <w:rsid w:val="00FF2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75307"/>
  <w15:docId w15:val="{90FA8C5C-DE7D-4E1F-8DF9-7E8898B0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B9"/>
    <w:pPr>
      <w:spacing w:before="120" w:after="120"/>
    </w:pPr>
  </w:style>
  <w:style w:type="paragraph" w:styleId="Heading1">
    <w:name w:val="heading 1"/>
    <w:basedOn w:val="Normal"/>
    <w:next w:val="Normal"/>
    <w:link w:val="Heading1Char"/>
    <w:uiPriority w:val="9"/>
    <w:qFormat/>
    <w:rsid w:val="00010B43"/>
    <w:pPr>
      <w:keepNext/>
      <w:keepLines/>
      <w:numPr>
        <w:numId w:val="3"/>
      </w:numPr>
      <w:spacing w:before="240"/>
      <w:outlineLvl w:val="0"/>
    </w:pPr>
    <w:rPr>
      <w:rFonts w:ascii="Cambria" w:eastAsiaTheme="majorEastAsia" w:hAnsi="Cambria" w:cstheme="majorBidi"/>
      <w:b/>
      <w:bCs/>
      <w:sz w:val="32"/>
      <w:szCs w:val="32"/>
    </w:rPr>
  </w:style>
  <w:style w:type="paragraph" w:styleId="Heading2">
    <w:name w:val="heading 2"/>
    <w:basedOn w:val="Normal"/>
    <w:next w:val="Normal"/>
    <w:link w:val="Heading2Char"/>
    <w:uiPriority w:val="9"/>
    <w:unhideWhenUsed/>
    <w:qFormat/>
    <w:rsid w:val="00010B43"/>
    <w:pPr>
      <w:keepNext/>
      <w:keepLines/>
      <w:jc w:val="both"/>
      <w:outlineLvl w:val="1"/>
    </w:pPr>
    <w:rPr>
      <w:rFonts w:ascii="Cambria Bold" w:eastAsiaTheme="majorEastAsia" w:hAnsi="Cambria Bold" w:cstheme="majorBidi"/>
      <w:b/>
      <w:bCs/>
      <w:sz w:val="28"/>
    </w:rPr>
  </w:style>
  <w:style w:type="paragraph" w:styleId="Heading3">
    <w:name w:val="heading 3"/>
    <w:basedOn w:val="Normal"/>
    <w:next w:val="Normal"/>
    <w:link w:val="Heading3Char"/>
    <w:uiPriority w:val="9"/>
    <w:unhideWhenUsed/>
    <w:qFormat/>
    <w:rsid w:val="00010B43"/>
    <w:pPr>
      <w:keepNext/>
      <w:keepLines/>
      <w:spacing w:before="60" w:after="6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010B43"/>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10B43"/>
    <w:pPr>
      <w:keepNext/>
      <w:keepLines/>
      <w:spacing w:before="40"/>
      <w:outlineLvl w:val="4"/>
    </w:pPr>
    <w:rPr>
      <w:rFonts w:asciiTheme="majorHAnsi" w:eastAsiaTheme="majorEastAsia" w:hAnsiTheme="majorHAnsi" w:cstheme="majorBidi"/>
      <w:color w:val="AA610D" w:themeColor="accent1" w:themeShade="BF"/>
    </w:rPr>
  </w:style>
  <w:style w:type="paragraph" w:styleId="Heading6">
    <w:name w:val="heading 6"/>
    <w:basedOn w:val="Normal"/>
    <w:next w:val="Normal"/>
    <w:link w:val="Heading6Char"/>
    <w:uiPriority w:val="9"/>
    <w:semiHidden/>
    <w:unhideWhenUsed/>
    <w:qFormat/>
    <w:rsid w:val="00010B43"/>
    <w:pPr>
      <w:keepNext/>
      <w:keepLines/>
      <w:spacing w:before="200"/>
      <w:outlineLvl w:val="5"/>
    </w:pPr>
    <w:rPr>
      <w:rFonts w:asciiTheme="majorHAnsi" w:eastAsiaTheme="majorEastAsia" w:hAnsiTheme="majorHAnsi" w:cstheme="majorBidi"/>
      <w:i/>
      <w:iCs/>
      <w:color w:val="714109" w:themeColor="accent1" w:themeShade="7F"/>
    </w:rPr>
  </w:style>
  <w:style w:type="paragraph" w:styleId="Heading7">
    <w:name w:val="heading 7"/>
    <w:basedOn w:val="Normal"/>
    <w:next w:val="Normal"/>
    <w:link w:val="Heading7Char"/>
    <w:uiPriority w:val="9"/>
    <w:semiHidden/>
    <w:unhideWhenUsed/>
    <w:qFormat/>
    <w:rsid w:val="00232F5C"/>
    <w:pPr>
      <w:keepNext/>
      <w:keepLines/>
      <w:spacing w:before="40"/>
      <w:outlineLvl w:val="6"/>
    </w:pPr>
    <w:rPr>
      <w:rFonts w:asciiTheme="majorHAnsi" w:eastAsiaTheme="majorEastAsia" w:hAnsiTheme="majorHAnsi" w:cstheme="majorBidi"/>
      <w:i/>
      <w:iCs/>
      <w:color w:val="714109" w:themeColor="accent1" w:themeShade="7F"/>
    </w:rPr>
  </w:style>
  <w:style w:type="paragraph" w:styleId="Heading8">
    <w:name w:val="heading 8"/>
    <w:basedOn w:val="Normal"/>
    <w:next w:val="Normal"/>
    <w:link w:val="Heading8Char"/>
    <w:uiPriority w:val="9"/>
    <w:semiHidden/>
    <w:unhideWhenUsed/>
    <w:qFormat/>
    <w:rsid w:val="00232F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2F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0B43"/>
    <w:pPr>
      <w:pBdr>
        <w:bottom w:val="single" w:sz="8" w:space="4" w:color="E48312"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10B43"/>
    <w:rPr>
      <w:rFonts w:eastAsiaTheme="majorEastAsia" w:cstheme="majorBidi"/>
      <w:spacing w:val="5"/>
      <w:kern w:val="28"/>
      <w:sz w:val="52"/>
      <w:szCs w:val="52"/>
    </w:rPr>
  </w:style>
  <w:style w:type="paragraph" w:styleId="Header">
    <w:name w:val="header"/>
    <w:basedOn w:val="Normal"/>
    <w:link w:val="HeaderChar"/>
    <w:uiPriority w:val="99"/>
    <w:unhideWhenUsed/>
    <w:rsid w:val="00232F5C"/>
    <w:pPr>
      <w:tabs>
        <w:tab w:val="center" w:pos="4680"/>
        <w:tab w:val="right" w:pos="9360"/>
      </w:tabs>
    </w:pPr>
  </w:style>
  <w:style w:type="character" w:customStyle="1" w:styleId="HeaderChar">
    <w:name w:val="Header Char"/>
    <w:basedOn w:val="DefaultParagraphFont"/>
    <w:link w:val="Header"/>
    <w:uiPriority w:val="99"/>
    <w:rsid w:val="00232F5C"/>
    <w:rPr>
      <w:rFonts w:eastAsiaTheme="minorEastAsia"/>
      <w:sz w:val="24"/>
      <w:szCs w:val="24"/>
    </w:rPr>
  </w:style>
  <w:style w:type="paragraph" w:styleId="Footer">
    <w:name w:val="footer"/>
    <w:basedOn w:val="Normal"/>
    <w:link w:val="FooterChar"/>
    <w:uiPriority w:val="99"/>
    <w:unhideWhenUsed/>
    <w:rsid w:val="00232F5C"/>
    <w:pPr>
      <w:tabs>
        <w:tab w:val="center" w:pos="4680"/>
        <w:tab w:val="right" w:pos="9360"/>
      </w:tabs>
    </w:pPr>
  </w:style>
  <w:style w:type="character" w:customStyle="1" w:styleId="FooterChar">
    <w:name w:val="Footer Char"/>
    <w:basedOn w:val="DefaultParagraphFont"/>
    <w:link w:val="Footer"/>
    <w:uiPriority w:val="99"/>
    <w:rsid w:val="00232F5C"/>
    <w:rPr>
      <w:rFonts w:eastAsiaTheme="minorEastAsia"/>
      <w:sz w:val="24"/>
      <w:szCs w:val="24"/>
    </w:rPr>
  </w:style>
  <w:style w:type="table" w:styleId="LightShading-Accent1">
    <w:name w:val="Light Shading Accent 1"/>
    <w:basedOn w:val="TableNormal"/>
    <w:uiPriority w:val="60"/>
    <w:rsid w:val="00232F5C"/>
    <w:rPr>
      <w:color w:val="AA610D" w:themeColor="accent1" w:themeShade="BF"/>
      <w:lang w:eastAsia="zh-TW"/>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character" w:customStyle="1" w:styleId="Heading1Char">
    <w:name w:val="Heading 1 Char"/>
    <w:basedOn w:val="DefaultParagraphFont"/>
    <w:link w:val="Heading1"/>
    <w:uiPriority w:val="9"/>
    <w:rsid w:val="00010B43"/>
    <w:rPr>
      <w:rFonts w:ascii="Cambria" w:eastAsiaTheme="majorEastAsia" w:hAnsi="Cambria" w:cstheme="majorBidi"/>
      <w:b/>
      <w:bCs/>
      <w:sz w:val="32"/>
      <w:szCs w:val="32"/>
    </w:rPr>
  </w:style>
  <w:style w:type="character" w:customStyle="1" w:styleId="Heading2Char">
    <w:name w:val="Heading 2 Char"/>
    <w:basedOn w:val="DefaultParagraphFont"/>
    <w:link w:val="Heading2"/>
    <w:uiPriority w:val="9"/>
    <w:rsid w:val="00010B43"/>
    <w:rPr>
      <w:rFonts w:ascii="Cambria Bold" w:eastAsiaTheme="majorEastAsia" w:hAnsi="Cambria Bold" w:cstheme="majorBidi"/>
      <w:b/>
      <w:bCs/>
      <w:sz w:val="28"/>
    </w:rPr>
  </w:style>
  <w:style w:type="character" w:customStyle="1" w:styleId="Heading3Char">
    <w:name w:val="Heading 3 Char"/>
    <w:basedOn w:val="DefaultParagraphFont"/>
    <w:link w:val="Heading3"/>
    <w:uiPriority w:val="9"/>
    <w:rsid w:val="00010B43"/>
    <w:rPr>
      <w:rFonts w:eastAsiaTheme="majorEastAsia" w:cstheme="majorBidi"/>
      <w:b/>
      <w:bCs/>
      <w:i/>
    </w:rPr>
  </w:style>
  <w:style w:type="character" w:customStyle="1" w:styleId="Heading4Char">
    <w:name w:val="Heading 4 Char"/>
    <w:basedOn w:val="DefaultParagraphFont"/>
    <w:link w:val="Heading4"/>
    <w:uiPriority w:val="9"/>
    <w:semiHidden/>
    <w:rsid w:val="00010B43"/>
    <w:rPr>
      <w:rFonts w:eastAsiaTheme="majorEastAsia" w:cstheme="majorBidi"/>
      <w:i/>
      <w:iCs/>
    </w:rPr>
  </w:style>
  <w:style w:type="character" w:customStyle="1" w:styleId="Heading5Char">
    <w:name w:val="Heading 5 Char"/>
    <w:basedOn w:val="DefaultParagraphFont"/>
    <w:link w:val="Heading5"/>
    <w:uiPriority w:val="9"/>
    <w:semiHidden/>
    <w:rsid w:val="00010B43"/>
    <w:rPr>
      <w:rFonts w:asciiTheme="majorHAnsi" w:eastAsiaTheme="majorEastAsia" w:hAnsiTheme="majorHAnsi" w:cstheme="majorBidi"/>
      <w:color w:val="AA610D" w:themeColor="accent1" w:themeShade="BF"/>
    </w:rPr>
  </w:style>
  <w:style w:type="character" w:customStyle="1" w:styleId="Heading6Char">
    <w:name w:val="Heading 6 Char"/>
    <w:basedOn w:val="DefaultParagraphFont"/>
    <w:link w:val="Heading6"/>
    <w:uiPriority w:val="9"/>
    <w:semiHidden/>
    <w:rsid w:val="00010B43"/>
    <w:rPr>
      <w:rFonts w:asciiTheme="majorHAnsi" w:eastAsiaTheme="majorEastAsia" w:hAnsiTheme="majorHAnsi" w:cstheme="majorBidi"/>
      <w:i/>
      <w:iCs/>
      <w:color w:val="714109" w:themeColor="accent1" w:themeShade="7F"/>
    </w:rPr>
  </w:style>
  <w:style w:type="character" w:customStyle="1" w:styleId="Heading7Char">
    <w:name w:val="Heading 7 Char"/>
    <w:basedOn w:val="DefaultParagraphFont"/>
    <w:link w:val="Heading7"/>
    <w:uiPriority w:val="9"/>
    <w:semiHidden/>
    <w:rsid w:val="00232F5C"/>
    <w:rPr>
      <w:rFonts w:asciiTheme="majorHAnsi" w:eastAsiaTheme="majorEastAsia" w:hAnsiTheme="majorHAnsi" w:cstheme="majorBidi"/>
      <w:i/>
      <w:iCs/>
      <w:color w:val="714109" w:themeColor="accent1" w:themeShade="7F"/>
    </w:rPr>
  </w:style>
  <w:style w:type="character" w:customStyle="1" w:styleId="Heading8Char">
    <w:name w:val="Heading 8 Char"/>
    <w:basedOn w:val="DefaultParagraphFont"/>
    <w:link w:val="Heading8"/>
    <w:uiPriority w:val="9"/>
    <w:semiHidden/>
    <w:rsid w:val="00232F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2F5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10B43"/>
    <w:pPr>
      <w:spacing w:after="200"/>
    </w:pPr>
    <w:rPr>
      <w:b/>
      <w:bCs/>
      <w:color w:val="E48312" w:themeColor="accent1"/>
      <w:sz w:val="18"/>
      <w:szCs w:val="18"/>
    </w:rPr>
  </w:style>
  <w:style w:type="paragraph" w:styleId="Subtitle">
    <w:name w:val="Subtitle"/>
    <w:basedOn w:val="Normal"/>
    <w:next w:val="Normal"/>
    <w:link w:val="SubtitleChar"/>
    <w:uiPriority w:val="11"/>
    <w:qFormat/>
    <w:rsid w:val="00232F5C"/>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32F5C"/>
    <w:rPr>
      <w:color w:val="5A5A5A" w:themeColor="text1" w:themeTint="A5"/>
      <w:spacing w:val="15"/>
      <w:sz w:val="22"/>
      <w:szCs w:val="22"/>
    </w:rPr>
  </w:style>
  <w:style w:type="character" w:styleId="Strong">
    <w:name w:val="Strong"/>
    <w:basedOn w:val="DefaultParagraphFont"/>
    <w:uiPriority w:val="22"/>
    <w:qFormat/>
    <w:rsid w:val="00010B43"/>
    <w:rPr>
      <w:b/>
      <w:bCs/>
    </w:rPr>
  </w:style>
  <w:style w:type="character" w:styleId="Emphasis">
    <w:name w:val="Emphasis"/>
    <w:basedOn w:val="DefaultParagraphFont"/>
    <w:uiPriority w:val="20"/>
    <w:qFormat/>
    <w:rsid w:val="00232F5C"/>
    <w:rPr>
      <w:i/>
      <w:iCs/>
    </w:rPr>
  </w:style>
  <w:style w:type="paragraph" w:styleId="NoSpacing">
    <w:name w:val="No Spacing"/>
    <w:link w:val="NoSpacingChar"/>
    <w:uiPriority w:val="1"/>
    <w:qFormat/>
    <w:rsid w:val="00232F5C"/>
  </w:style>
  <w:style w:type="paragraph" w:styleId="Quote">
    <w:name w:val="Quote"/>
    <w:basedOn w:val="Normal"/>
    <w:next w:val="Normal"/>
    <w:link w:val="QuoteChar"/>
    <w:uiPriority w:val="29"/>
    <w:qFormat/>
    <w:rsid w:val="00232F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2F5C"/>
    <w:rPr>
      <w:i/>
      <w:iCs/>
      <w:color w:val="404040" w:themeColor="text1" w:themeTint="BF"/>
    </w:rPr>
  </w:style>
  <w:style w:type="paragraph" w:styleId="IntenseQuote">
    <w:name w:val="Intense Quote"/>
    <w:basedOn w:val="Normal"/>
    <w:next w:val="Normal"/>
    <w:link w:val="IntenseQuoteChar"/>
    <w:uiPriority w:val="30"/>
    <w:qFormat/>
    <w:rsid w:val="00232F5C"/>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IntenseQuoteChar">
    <w:name w:val="Intense Quote Char"/>
    <w:basedOn w:val="DefaultParagraphFont"/>
    <w:link w:val="IntenseQuote"/>
    <w:uiPriority w:val="30"/>
    <w:rsid w:val="00232F5C"/>
    <w:rPr>
      <w:i/>
      <w:iCs/>
      <w:color w:val="E48312" w:themeColor="accent1"/>
    </w:rPr>
  </w:style>
  <w:style w:type="character" w:styleId="SubtleEmphasis">
    <w:name w:val="Subtle Emphasis"/>
    <w:basedOn w:val="DefaultParagraphFont"/>
    <w:uiPriority w:val="19"/>
    <w:qFormat/>
    <w:rsid w:val="00010B43"/>
    <w:rPr>
      <w:i/>
      <w:iCs/>
      <w:color w:val="808080" w:themeColor="text1" w:themeTint="7F"/>
    </w:rPr>
  </w:style>
  <w:style w:type="character" w:styleId="IntenseEmphasis">
    <w:name w:val="Intense Emphasis"/>
    <w:basedOn w:val="DefaultParagraphFont"/>
    <w:uiPriority w:val="21"/>
    <w:qFormat/>
    <w:rsid w:val="00232F5C"/>
    <w:rPr>
      <w:i/>
      <w:iCs/>
      <w:color w:val="E48312" w:themeColor="accent1"/>
    </w:rPr>
  </w:style>
  <w:style w:type="character" w:styleId="SubtleReference">
    <w:name w:val="Subtle Reference"/>
    <w:basedOn w:val="DefaultParagraphFont"/>
    <w:uiPriority w:val="31"/>
    <w:qFormat/>
    <w:rsid w:val="00232F5C"/>
    <w:rPr>
      <w:smallCaps/>
      <w:color w:val="5A5A5A" w:themeColor="text1" w:themeTint="A5"/>
    </w:rPr>
  </w:style>
  <w:style w:type="character" w:styleId="IntenseReference">
    <w:name w:val="Intense Reference"/>
    <w:basedOn w:val="DefaultParagraphFont"/>
    <w:uiPriority w:val="32"/>
    <w:qFormat/>
    <w:rsid w:val="00232F5C"/>
    <w:rPr>
      <w:b/>
      <w:bCs/>
      <w:smallCaps/>
      <w:color w:val="E48312" w:themeColor="accent1"/>
      <w:spacing w:val="5"/>
    </w:rPr>
  </w:style>
  <w:style w:type="character" w:styleId="BookTitle">
    <w:name w:val="Book Title"/>
    <w:basedOn w:val="DefaultParagraphFont"/>
    <w:uiPriority w:val="33"/>
    <w:qFormat/>
    <w:rsid w:val="00232F5C"/>
    <w:rPr>
      <w:b/>
      <w:bCs/>
      <w:i/>
      <w:iCs/>
      <w:spacing w:val="5"/>
    </w:rPr>
  </w:style>
  <w:style w:type="paragraph" w:styleId="TOCHeading">
    <w:name w:val="TOC Heading"/>
    <w:basedOn w:val="Heading1"/>
    <w:next w:val="Normal"/>
    <w:uiPriority w:val="39"/>
    <w:unhideWhenUsed/>
    <w:qFormat/>
    <w:rsid w:val="00010B43"/>
    <w:pPr>
      <w:numPr>
        <w:numId w:val="0"/>
      </w:numPr>
      <w:spacing w:before="480" w:after="0" w:line="276" w:lineRule="auto"/>
      <w:outlineLvl w:val="9"/>
    </w:pPr>
    <w:rPr>
      <w:rFonts w:asciiTheme="minorHAnsi" w:hAnsiTheme="minorHAnsi"/>
      <w:caps/>
      <w:sz w:val="28"/>
      <w:szCs w:val="28"/>
    </w:rPr>
  </w:style>
  <w:style w:type="paragraph" w:styleId="ListParagraph">
    <w:name w:val="List Paragraph"/>
    <w:basedOn w:val="Normal"/>
    <w:uiPriority w:val="34"/>
    <w:qFormat/>
    <w:rsid w:val="00010B43"/>
    <w:pPr>
      <w:ind w:left="720"/>
      <w:contextualSpacing/>
    </w:pPr>
  </w:style>
  <w:style w:type="paragraph" w:styleId="CommentText">
    <w:name w:val="annotation text"/>
    <w:basedOn w:val="Normal"/>
    <w:link w:val="CommentTextChar"/>
    <w:uiPriority w:val="99"/>
    <w:unhideWhenUsed/>
    <w:rsid w:val="00010B43"/>
    <w:rPr>
      <w:sz w:val="20"/>
      <w:szCs w:val="20"/>
    </w:rPr>
  </w:style>
  <w:style w:type="character" w:customStyle="1" w:styleId="CommentTextChar">
    <w:name w:val="Comment Text Char"/>
    <w:basedOn w:val="DefaultParagraphFont"/>
    <w:link w:val="CommentText"/>
    <w:uiPriority w:val="99"/>
    <w:rsid w:val="00010B43"/>
    <w:rPr>
      <w:sz w:val="20"/>
      <w:szCs w:val="20"/>
    </w:rPr>
  </w:style>
  <w:style w:type="character" w:styleId="FootnoteReference">
    <w:name w:val="footnote reference"/>
    <w:basedOn w:val="DefaultParagraphFont"/>
    <w:uiPriority w:val="99"/>
    <w:unhideWhenUsed/>
    <w:rsid w:val="00010B43"/>
    <w:rPr>
      <w:vertAlign w:val="superscript"/>
    </w:rPr>
  </w:style>
  <w:style w:type="paragraph" w:styleId="NormalWeb">
    <w:name w:val="Normal (Web)"/>
    <w:basedOn w:val="Normal"/>
    <w:uiPriority w:val="99"/>
    <w:unhideWhenUsed/>
    <w:rsid w:val="00010B43"/>
    <w:pPr>
      <w:spacing w:before="100" w:beforeAutospacing="1" w:after="100" w:afterAutospacing="1"/>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010B43"/>
  </w:style>
  <w:style w:type="paragraph" w:styleId="TOC1">
    <w:name w:val="toc 1"/>
    <w:basedOn w:val="Normal"/>
    <w:next w:val="Normal"/>
    <w:autoRedefine/>
    <w:uiPriority w:val="39"/>
    <w:unhideWhenUsed/>
    <w:rsid w:val="00010B43"/>
    <w:pPr>
      <w:spacing w:after="100"/>
    </w:pPr>
  </w:style>
  <w:style w:type="paragraph" w:styleId="TOC2">
    <w:name w:val="toc 2"/>
    <w:basedOn w:val="Normal"/>
    <w:next w:val="Normal"/>
    <w:autoRedefine/>
    <w:uiPriority w:val="39"/>
    <w:unhideWhenUsed/>
    <w:rsid w:val="00010B43"/>
    <w:pPr>
      <w:spacing w:after="100"/>
      <w:ind w:left="240"/>
    </w:pPr>
  </w:style>
  <w:style w:type="character" w:styleId="Hyperlink">
    <w:name w:val="Hyperlink"/>
    <w:basedOn w:val="DefaultParagraphFont"/>
    <w:uiPriority w:val="99"/>
    <w:unhideWhenUsed/>
    <w:rsid w:val="00010B43"/>
    <w:rPr>
      <w:color w:val="2998E3" w:themeColor="hyperlink"/>
      <w:u w:val="single"/>
    </w:rPr>
  </w:style>
  <w:style w:type="table" w:customStyle="1" w:styleId="ListTable3-Accent11">
    <w:name w:val="List Table 3 - Accent 11"/>
    <w:basedOn w:val="TableNormal"/>
    <w:uiPriority w:val="48"/>
    <w:rsid w:val="00843B38"/>
    <w:rPr>
      <w:rFonts w:eastAsiaTheme="minorHAnsi"/>
      <w:sz w:val="22"/>
      <w:szCs w:val="22"/>
    </w:rPr>
    <w:tblPr>
      <w:tblStyleRowBandSize w:val="1"/>
      <w:tblStyleColBandSize w:val="1"/>
      <w:tblBorders>
        <w:top w:val="single" w:sz="4" w:space="0" w:color="E48312" w:themeColor="accent1"/>
        <w:left w:val="single" w:sz="4" w:space="0" w:color="E48312" w:themeColor="accent1"/>
        <w:bottom w:val="single" w:sz="4" w:space="0" w:color="E48312" w:themeColor="accent1"/>
        <w:right w:val="single" w:sz="4" w:space="0" w:color="E48312" w:themeColor="accent1"/>
      </w:tblBorders>
    </w:tblPr>
    <w:tblStylePr w:type="firstRow">
      <w:rPr>
        <w:b/>
        <w:bCs/>
        <w:color w:val="FFFFFF" w:themeColor="background1"/>
      </w:rPr>
      <w:tblPr/>
      <w:tcPr>
        <w:shd w:val="clear" w:color="auto" w:fill="E48312" w:themeFill="accent1"/>
      </w:tcPr>
    </w:tblStylePr>
    <w:tblStylePr w:type="lastRow">
      <w:rPr>
        <w:b/>
        <w:bCs/>
      </w:rPr>
      <w:tblPr/>
      <w:tcPr>
        <w:tcBorders>
          <w:top w:val="double" w:sz="4" w:space="0" w:color="E4831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8312" w:themeColor="accent1"/>
          <w:right w:val="single" w:sz="4" w:space="0" w:color="E48312" w:themeColor="accent1"/>
        </w:tcBorders>
      </w:tcPr>
    </w:tblStylePr>
    <w:tblStylePr w:type="band1Horz">
      <w:tblPr/>
      <w:tcPr>
        <w:tcBorders>
          <w:top w:val="single" w:sz="4" w:space="0" w:color="E48312" w:themeColor="accent1"/>
          <w:bottom w:val="single" w:sz="4" w:space="0" w:color="E4831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8312" w:themeColor="accent1"/>
          <w:left w:val="nil"/>
        </w:tcBorders>
      </w:tcPr>
    </w:tblStylePr>
    <w:tblStylePr w:type="swCell">
      <w:tblPr/>
      <w:tcPr>
        <w:tcBorders>
          <w:top w:val="double" w:sz="4" w:space="0" w:color="E48312" w:themeColor="accent1"/>
          <w:right w:val="nil"/>
        </w:tcBorders>
      </w:tcPr>
    </w:tblStylePr>
  </w:style>
  <w:style w:type="paragraph" w:styleId="TableofFigures">
    <w:name w:val="table of figures"/>
    <w:basedOn w:val="Normal"/>
    <w:next w:val="Normal"/>
    <w:uiPriority w:val="99"/>
    <w:unhideWhenUsed/>
    <w:rsid w:val="0040686B"/>
    <w:pPr>
      <w:ind w:left="480" w:hanging="480"/>
    </w:pPr>
  </w:style>
  <w:style w:type="character" w:styleId="CommentReference">
    <w:name w:val="annotation reference"/>
    <w:basedOn w:val="DefaultParagraphFont"/>
    <w:uiPriority w:val="99"/>
    <w:semiHidden/>
    <w:unhideWhenUsed/>
    <w:rsid w:val="002B6A5E"/>
    <w:rPr>
      <w:sz w:val="16"/>
      <w:szCs w:val="16"/>
    </w:rPr>
  </w:style>
  <w:style w:type="paragraph" w:styleId="CommentSubject">
    <w:name w:val="annotation subject"/>
    <w:basedOn w:val="CommentText"/>
    <w:next w:val="CommentText"/>
    <w:link w:val="CommentSubjectChar"/>
    <w:uiPriority w:val="99"/>
    <w:semiHidden/>
    <w:unhideWhenUsed/>
    <w:rsid w:val="002B6A5E"/>
    <w:rPr>
      <w:b/>
      <w:bCs/>
    </w:rPr>
  </w:style>
  <w:style w:type="character" w:customStyle="1" w:styleId="CommentSubjectChar">
    <w:name w:val="Comment Subject Char"/>
    <w:basedOn w:val="CommentTextChar"/>
    <w:link w:val="CommentSubject"/>
    <w:uiPriority w:val="99"/>
    <w:semiHidden/>
    <w:rsid w:val="002B6A5E"/>
    <w:rPr>
      <w:b/>
      <w:bCs/>
      <w:sz w:val="20"/>
      <w:szCs w:val="20"/>
    </w:rPr>
  </w:style>
  <w:style w:type="paragraph" w:styleId="BalloonText">
    <w:name w:val="Balloon Text"/>
    <w:basedOn w:val="Normal"/>
    <w:link w:val="BalloonTextChar"/>
    <w:uiPriority w:val="99"/>
    <w:semiHidden/>
    <w:unhideWhenUsed/>
    <w:rsid w:val="002B6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A5E"/>
    <w:rPr>
      <w:rFonts w:ascii="Segoe UI" w:hAnsi="Segoe UI" w:cs="Segoe UI"/>
      <w:sz w:val="18"/>
      <w:szCs w:val="18"/>
    </w:rPr>
  </w:style>
  <w:style w:type="table" w:styleId="TableGrid">
    <w:name w:val="Table Grid"/>
    <w:basedOn w:val="TableNormal"/>
    <w:uiPriority w:val="39"/>
    <w:rsid w:val="00FF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608B"/>
    <w:rPr>
      <w:sz w:val="20"/>
      <w:szCs w:val="20"/>
    </w:rPr>
  </w:style>
  <w:style w:type="character" w:customStyle="1" w:styleId="FootnoteTextChar">
    <w:name w:val="Footnote Text Char"/>
    <w:basedOn w:val="DefaultParagraphFont"/>
    <w:link w:val="FootnoteText"/>
    <w:uiPriority w:val="99"/>
    <w:semiHidden/>
    <w:rsid w:val="00F9608B"/>
    <w:rPr>
      <w:sz w:val="20"/>
      <w:szCs w:val="20"/>
    </w:rPr>
  </w:style>
  <w:style w:type="paragraph" w:styleId="TOC3">
    <w:name w:val="toc 3"/>
    <w:basedOn w:val="Normal"/>
    <w:next w:val="Normal"/>
    <w:autoRedefine/>
    <w:uiPriority w:val="39"/>
    <w:unhideWhenUsed/>
    <w:rsid w:val="002B2031"/>
    <w:pPr>
      <w:spacing w:after="100"/>
      <w:ind w:left="480"/>
    </w:pPr>
  </w:style>
  <w:style w:type="paragraph" w:styleId="Bibliography">
    <w:name w:val="Bibliography"/>
    <w:basedOn w:val="Normal"/>
    <w:next w:val="Normal"/>
    <w:uiPriority w:val="37"/>
    <w:unhideWhenUsed/>
    <w:rsid w:val="00A4089D"/>
  </w:style>
  <w:style w:type="paragraph" w:styleId="Revision">
    <w:name w:val="Revision"/>
    <w:hidden/>
    <w:uiPriority w:val="99"/>
    <w:semiHidden/>
    <w:rsid w:val="002A666B"/>
  </w:style>
  <w:style w:type="paragraph" w:customStyle="1" w:styleId="ref">
    <w:name w:val="ref"/>
    <w:basedOn w:val="Normal"/>
    <w:rsid w:val="000E577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56">
      <w:bodyDiv w:val="1"/>
      <w:marLeft w:val="0"/>
      <w:marRight w:val="0"/>
      <w:marTop w:val="0"/>
      <w:marBottom w:val="0"/>
      <w:divBdr>
        <w:top w:val="none" w:sz="0" w:space="0" w:color="auto"/>
        <w:left w:val="none" w:sz="0" w:space="0" w:color="auto"/>
        <w:bottom w:val="none" w:sz="0" w:space="0" w:color="auto"/>
        <w:right w:val="none" w:sz="0" w:space="0" w:color="auto"/>
      </w:divBdr>
    </w:div>
    <w:div w:id="40636270">
      <w:bodyDiv w:val="1"/>
      <w:marLeft w:val="0"/>
      <w:marRight w:val="0"/>
      <w:marTop w:val="0"/>
      <w:marBottom w:val="0"/>
      <w:divBdr>
        <w:top w:val="none" w:sz="0" w:space="0" w:color="auto"/>
        <w:left w:val="none" w:sz="0" w:space="0" w:color="auto"/>
        <w:bottom w:val="none" w:sz="0" w:space="0" w:color="auto"/>
        <w:right w:val="none" w:sz="0" w:space="0" w:color="auto"/>
      </w:divBdr>
    </w:div>
    <w:div w:id="131289024">
      <w:bodyDiv w:val="1"/>
      <w:marLeft w:val="0"/>
      <w:marRight w:val="0"/>
      <w:marTop w:val="0"/>
      <w:marBottom w:val="0"/>
      <w:divBdr>
        <w:top w:val="none" w:sz="0" w:space="0" w:color="auto"/>
        <w:left w:val="none" w:sz="0" w:space="0" w:color="auto"/>
        <w:bottom w:val="none" w:sz="0" w:space="0" w:color="auto"/>
        <w:right w:val="none" w:sz="0" w:space="0" w:color="auto"/>
      </w:divBdr>
    </w:div>
    <w:div w:id="161431178">
      <w:bodyDiv w:val="1"/>
      <w:marLeft w:val="0"/>
      <w:marRight w:val="0"/>
      <w:marTop w:val="0"/>
      <w:marBottom w:val="0"/>
      <w:divBdr>
        <w:top w:val="none" w:sz="0" w:space="0" w:color="auto"/>
        <w:left w:val="none" w:sz="0" w:space="0" w:color="auto"/>
        <w:bottom w:val="none" w:sz="0" w:space="0" w:color="auto"/>
        <w:right w:val="none" w:sz="0" w:space="0" w:color="auto"/>
      </w:divBdr>
    </w:div>
    <w:div w:id="190799741">
      <w:bodyDiv w:val="1"/>
      <w:marLeft w:val="0"/>
      <w:marRight w:val="0"/>
      <w:marTop w:val="0"/>
      <w:marBottom w:val="0"/>
      <w:divBdr>
        <w:top w:val="none" w:sz="0" w:space="0" w:color="auto"/>
        <w:left w:val="none" w:sz="0" w:space="0" w:color="auto"/>
        <w:bottom w:val="none" w:sz="0" w:space="0" w:color="auto"/>
        <w:right w:val="none" w:sz="0" w:space="0" w:color="auto"/>
      </w:divBdr>
    </w:div>
    <w:div w:id="343826569">
      <w:bodyDiv w:val="1"/>
      <w:marLeft w:val="0"/>
      <w:marRight w:val="0"/>
      <w:marTop w:val="0"/>
      <w:marBottom w:val="0"/>
      <w:divBdr>
        <w:top w:val="none" w:sz="0" w:space="0" w:color="auto"/>
        <w:left w:val="none" w:sz="0" w:space="0" w:color="auto"/>
        <w:bottom w:val="none" w:sz="0" w:space="0" w:color="auto"/>
        <w:right w:val="none" w:sz="0" w:space="0" w:color="auto"/>
      </w:divBdr>
    </w:div>
    <w:div w:id="346103210">
      <w:bodyDiv w:val="1"/>
      <w:marLeft w:val="0"/>
      <w:marRight w:val="0"/>
      <w:marTop w:val="0"/>
      <w:marBottom w:val="0"/>
      <w:divBdr>
        <w:top w:val="none" w:sz="0" w:space="0" w:color="auto"/>
        <w:left w:val="none" w:sz="0" w:space="0" w:color="auto"/>
        <w:bottom w:val="none" w:sz="0" w:space="0" w:color="auto"/>
        <w:right w:val="none" w:sz="0" w:space="0" w:color="auto"/>
      </w:divBdr>
    </w:div>
    <w:div w:id="388192781">
      <w:bodyDiv w:val="1"/>
      <w:marLeft w:val="0"/>
      <w:marRight w:val="0"/>
      <w:marTop w:val="0"/>
      <w:marBottom w:val="0"/>
      <w:divBdr>
        <w:top w:val="none" w:sz="0" w:space="0" w:color="auto"/>
        <w:left w:val="none" w:sz="0" w:space="0" w:color="auto"/>
        <w:bottom w:val="none" w:sz="0" w:space="0" w:color="auto"/>
        <w:right w:val="none" w:sz="0" w:space="0" w:color="auto"/>
      </w:divBdr>
    </w:div>
    <w:div w:id="429938086">
      <w:bodyDiv w:val="1"/>
      <w:marLeft w:val="0"/>
      <w:marRight w:val="0"/>
      <w:marTop w:val="0"/>
      <w:marBottom w:val="0"/>
      <w:divBdr>
        <w:top w:val="none" w:sz="0" w:space="0" w:color="auto"/>
        <w:left w:val="none" w:sz="0" w:space="0" w:color="auto"/>
        <w:bottom w:val="none" w:sz="0" w:space="0" w:color="auto"/>
        <w:right w:val="none" w:sz="0" w:space="0" w:color="auto"/>
      </w:divBdr>
    </w:div>
    <w:div w:id="432870100">
      <w:bodyDiv w:val="1"/>
      <w:marLeft w:val="0"/>
      <w:marRight w:val="0"/>
      <w:marTop w:val="0"/>
      <w:marBottom w:val="0"/>
      <w:divBdr>
        <w:top w:val="none" w:sz="0" w:space="0" w:color="auto"/>
        <w:left w:val="none" w:sz="0" w:space="0" w:color="auto"/>
        <w:bottom w:val="none" w:sz="0" w:space="0" w:color="auto"/>
        <w:right w:val="none" w:sz="0" w:space="0" w:color="auto"/>
      </w:divBdr>
    </w:div>
    <w:div w:id="512961224">
      <w:bodyDiv w:val="1"/>
      <w:marLeft w:val="0"/>
      <w:marRight w:val="0"/>
      <w:marTop w:val="0"/>
      <w:marBottom w:val="0"/>
      <w:divBdr>
        <w:top w:val="none" w:sz="0" w:space="0" w:color="auto"/>
        <w:left w:val="none" w:sz="0" w:space="0" w:color="auto"/>
        <w:bottom w:val="none" w:sz="0" w:space="0" w:color="auto"/>
        <w:right w:val="none" w:sz="0" w:space="0" w:color="auto"/>
      </w:divBdr>
    </w:div>
    <w:div w:id="543833347">
      <w:bodyDiv w:val="1"/>
      <w:marLeft w:val="0"/>
      <w:marRight w:val="0"/>
      <w:marTop w:val="0"/>
      <w:marBottom w:val="0"/>
      <w:divBdr>
        <w:top w:val="none" w:sz="0" w:space="0" w:color="auto"/>
        <w:left w:val="none" w:sz="0" w:space="0" w:color="auto"/>
        <w:bottom w:val="none" w:sz="0" w:space="0" w:color="auto"/>
        <w:right w:val="none" w:sz="0" w:space="0" w:color="auto"/>
      </w:divBdr>
    </w:div>
    <w:div w:id="566306954">
      <w:bodyDiv w:val="1"/>
      <w:marLeft w:val="0"/>
      <w:marRight w:val="0"/>
      <w:marTop w:val="0"/>
      <w:marBottom w:val="0"/>
      <w:divBdr>
        <w:top w:val="none" w:sz="0" w:space="0" w:color="auto"/>
        <w:left w:val="none" w:sz="0" w:space="0" w:color="auto"/>
        <w:bottom w:val="none" w:sz="0" w:space="0" w:color="auto"/>
        <w:right w:val="none" w:sz="0" w:space="0" w:color="auto"/>
      </w:divBdr>
    </w:div>
    <w:div w:id="577180148">
      <w:bodyDiv w:val="1"/>
      <w:marLeft w:val="0"/>
      <w:marRight w:val="0"/>
      <w:marTop w:val="0"/>
      <w:marBottom w:val="0"/>
      <w:divBdr>
        <w:top w:val="none" w:sz="0" w:space="0" w:color="auto"/>
        <w:left w:val="none" w:sz="0" w:space="0" w:color="auto"/>
        <w:bottom w:val="none" w:sz="0" w:space="0" w:color="auto"/>
        <w:right w:val="none" w:sz="0" w:space="0" w:color="auto"/>
      </w:divBdr>
    </w:div>
    <w:div w:id="589655481">
      <w:bodyDiv w:val="1"/>
      <w:marLeft w:val="0"/>
      <w:marRight w:val="0"/>
      <w:marTop w:val="0"/>
      <w:marBottom w:val="0"/>
      <w:divBdr>
        <w:top w:val="none" w:sz="0" w:space="0" w:color="auto"/>
        <w:left w:val="none" w:sz="0" w:space="0" w:color="auto"/>
        <w:bottom w:val="none" w:sz="0" w:space="0" w:color="auto"/>
        <w:right w:val="none" w:sz="0" w:space="0" w:color="auto"/>
      </w:divBdr>
    </w:div>
    <w:div w:id="711732765">
      <w:bodyDiv w:val="1"/>
      <w:marLeft w:val="0"/>
      <w:marRight w:val="0"/>
      <w:marTop w:val="0"/>
      <w:marBottom w:val="0"/>
      <w:divBdr>
        <w:top w:val="none" w:sz="0" w:space="0" w:color="auto"/>
        <w:left w:val="none" w:sz="0" w:space="0" w:color="auto"/>
        <w:bottom w:val="none" w:sz="0" w:space="0" w:color="auto"/>
        <w:right w:val="none" w:sz="0" w:space="0" w:color="auto"/>
      </w:divBdr>
    </w:div>
    <w:div w:id="765922791">
      <w:bodyDiv w:val="1"/>
      <w:marLeft w:val="0"/>
      <w:marRight w:val="0"/>
      <w:marTop w:val="0"/>
      <w:marBottom w:val="0"/>
      <w:divBdr>
        <w:top w:val="none" w:sz="0" w:space="0" w:color="auto"/>
        <w:left w:val="none" w:sz="0" w:space="0" w:color="auto"/>
        <w:bottom w:val="none" w:sz="0" w:space="0" w:color="auto"/>
        <w:right w:val="none" w:sz="0" w:space="0" w:color="auto"/>
      </w:divBdr>
    </w:div>
    <w:div w:id="931619783">
      <w:bodyDiv w:val="1"/>
      <w:marLeft w:val="0"/>
      <w:marRight w:val="0"/>
      <w:marTop w:val="0"/>
      <w:marBottom w:val="0"/>
      <w:divBdr>
        <w:top w:val="none" w:sz="0" w:space="0" w:color="auto"/>
        <w:left w:val="none" w:sz="0" w:space="0" w:color="auto"/>
        <w:bottom w:val="none" w:sz="0" w:space="0" w:color="auto"/>
        <w:right w:val="none" w:sz="0" w:space="0" w:color="auto"/>
      </w:divBdr>
    </w:div>
    <w:div w:id="946887664">
      <w:bodyDiv w:val="1"/>
      <w:marLeft w:val="0"/>
      <w:marRight w:val="0"/>
      <w:marTop w:val="0"/>
      <w:marBottom w:val="0"/>
      <w:divBdr>
        <w:top w:val="none" w:sz="0" w:space="0" w:color="auto"/>
        <w:left w:val="none" w:sz="0" w:space="0" w:color="auto"/>
        <w:bottom w:val="none" w:sz="0" w:space="0" w:color="auto"/>
        <w:right w:val="none" w:sz="0" w:space="0" w:color="auto"/>
      </w:divBdr>
    </w:div>
    <w:div w:id="956915906">
      <w:bodyDiv w:val="1"/>
      <w:marLeft w:val="0"/>
      <w:marRight w:val="0"/>
      <w:marTop w:val="0"/>
      <w:marBottom w:val="0"/>
      <w:divBdr>
        <w:top w:val="none" w:sz="0" w:space="0" w:color="auto"/>
        <w:left w:val="none" w:sz="0" w:space="0" w:color="auto"/>
        <w:bottom w:val="none" w:sz="0" w:space="0" w:color="auto"/>
        <w:right w:val="none" w:sz="0" w:space="0" w:color="auto"/>
      </w:divBdr>
    </w:div>
    <w:div w:id="974217702">
      <w:bodyDiv w:val="1"/>
      <w:marLeft w:val="0"/>
      <w:marRight w:val="0"/>
      <w:marTop w:val="0"/>
      <w:marBottom w:val="0"/>
      <w:divBdr>
        <w:top w:val="none" w:sz="0" w:space="0" w:color="auto"/>
        <w:left w:val="none" w:sz="0" w:space="0" w:color="auto"/>
        <w:bottom w:val="none" w:sz="0" w:space="0" w:color="auto"/>
        <w:right w:val="none" w:sz="0" w:space="0" w:color="auto"/>
      </w:divBdr>
    </w:div>
    <w:div w:id="1096631010">
      <w:bodyDiv w:val="1"/>
      <w:marLeft w:val="0"/>
      <w:marRight w:val="0"/>
      <w:marTop w:val="0"/>
      <w:marBottom w:val="0"/>
      <w:divBdr>
        <w:top w:val="none" w:sz="0" w:space="0" w:color="auto"/>
        <w:left w:val="none" w:sz="0" w:space="0" w:color="auto"/>
        <w:bottom w:val="none" w:sz="0" w:space="0" w:color="auto"/>
        <w:right w:val="none" w:sz="0" w:space="0" w:color="auto"/>
      </w:divBdr>
    </w:div>
    <w:div w:id="1096830342">
      <w:bodyDiv w:val="1"/>
      <w:marLeft w:val="0"/>
      <w:marRight w:val="0"/>
      <w:marTop w:val="0"/>
      <w:marBottom w:val="0"/>
      <w:divBdr>
        <w:top w:val="none" w:sz="0" w:space="0" w:color="auto"/>
        <w:left w:val="none" w:sz="0" w:space="0" w:color="auto"/>
        <w:bottom w:val="none" w:sz="0" w:space="0" w:color="auto"/>
        <w:right w:val="none" w:sz="0" w:space="0" w:color="auto"/>
      </w:divBdr>
    </w:div>
    <w:div w:id="1147866277">
      <w:bodyDiv w:val="1"/>
      <w:marLeft w:val="0"/>
      <w:marRight w:val="0"/>
      <w:marTop w:val="0"/>
      <w:marBottom w:val="0"/>
      <w:divBdr>
        <w:top w:val="none" w:sz="0" w:space="0" w:color="auto"/>
        <w:left w:val="none" w:sz="0" w:space="0" w:color="auto"/>
        <w:bottom w:val="none" w:sz="0" w:space="0" w:color="auto"/>
        <w:right w:val="none" w:sz="0" w:space="0" w:color="auto"/>
      </w:divBdr>
    </w:div>
    <w:div w:id="1203517502">
      <w:bodyDiv w:val="1"/>
      <w:marLeft w:val="0"/>
      <w:marRight w:val="0"/>
      <w:marTop w:val="0"/>
      <w:marBottom w:val="0"/>
      <w:divBdr>
        <w:top w:val="none" w:sz="0" w:space="0" w:color="auto"/>
        <w:left w:val="none" w:sz="0" w:space="0" w:color="auto"/>
        <w:bottom w:val="none" w:sz="0" w:space="0" w:color="auto"/>
        <w:right w:val="none" w:sz="0" w:space="0" w:color="auto"/>
      </w:divBdr>
    </w:div>
    <w:div w:id="1221357791">
      <w:bodyDiv w:val="1"/>
      <w:marLeft w:val="0"/>
      <w:marRight w:val="0"/>
      <w:marTop w:val="0"/>
      <w:marBottom w:val="0"/>
      <w:divBdr>
        <w:top w:val="none" w:sz="0" w:space="0" w:color="auto"/>
        <w:left w:val="none" w:sz="0" w:space="0" w:color="auto"/>
        <w:bottom w:val="none" w:sz="0" w:space="0" w:color="auto"/>
        <w:right w:val="none" w:sz="0" w:space="0" w:color="auto"/>
      </w:divBdr>
    </w:div>
    <w:div w:id="1236744261">
      <w:bodyDiv w:val="1"/>
      <w:marLeft w:val="0"/>
      <w:marRight w:val="0"/>
      <w:marTop w:val="0"/>
      <w:marBottom w:val="0"/>
      <w:divBdr>
        <w:top w:val="none" w:sz="0" w:space="0" w:color="auto"/>
        <w:left w:val="none" w:sz="0" w:space="0" w:color="auto"/>
        <w:bottom w:val="none" w:sz="0" w:space="0" w:color="auto"/>
        <w:right w:val="none" w:sz="0" w:space="0" w:color="auto"/>
      </w:divBdr>
    </w:div>
    <w:div w:id="1249540668">
      <w:bodyDiv w:val="1"/>
      <w:marLeft w:val="0"/>
      <w:marRight w:val="0"/>
      <w:marTop w:val="0"/>
      <w:marBottom w:val="0"/>
      <w:divBdr>
        <w:top w:val="none" w:sz="0" w:space="0" w:color="auto"/>
        <w:left w:val="none" w:sz="0" w:space="0" w:color="auto"/>
        <w:bottom w:val="none" w:sz="0" w:space="0" w:color="auto"/>
        <w:right w:val="none" w:sz="0" w:space="0" w:color="auto"/>
      </w:divBdr>
    </w:div>
    <w:div w:id="1277560576">
      <w:bodyDiv w:val="1"/>
      <w:marLeft w:val="0"/>
      <w:marRight w:val="0"/>
      <w:marTop w:val="0"/>
      <w:marBottom w:val="0"/>
      <w:divBdr>
        <w:top w:val="none" w:sz="0" w:space="0" w:color="auto"/>
        <w:left w:val="none" w:sz="0" w:space="0" w:color="auto"/>
        <w:bottom w:val="none" w:sz="0" w:space="0" w:color="auto"/>
        <w:right w:val="none" w:sz="0" w:space="0" w:color="auto"/>
      </w:divBdr>
    </w:div>
    <w:div w:id="1277709575">
      <w:bodyDiv w:val="1"/>
      <w:marLeft w:val="0"/>
      <w:marRight w:val="0"/>
      <w:marTop w:val="0"/>
      <w:marBottom w:val="0"/>
      <w:divBdr>
        <w:top w:val="none" w:sz="0" w:space="0" w:color="auto"/>
        <w:left w:val="none" w:sz="0" w:space="0" w:color="auto"/>
        <w:bottom w:val="none" w:sz="0" w:space="0" w:color="auto"/>
        <w:right w:val="none" w:sz="0" w:space="0" w:color="auto"/>
      </w:divBdr>
    </w:div>
    <w:div w:id="1284993123">
      <w:bodyDiv w:val="1"/>
      <w:marLeft w:val="0"/>
      <w:marRight w:val="0"/>
      <w:marTop w:val="0"/>
      <w:marBottom w:val="0"/>
      <w:divBdr>
        <w:top w:val="none" w:sz="0" w:space="0" w:color="auto"/>
        <w:left w:val="none" w:sz="0" w:space="0" w:color="auto"/>
        <w:bottom w:val="none" w:sz="0" w:space="0" w:color="auto"/>
        <w:right w:val="none" w:sz="0" w:space="0" w:color="auto"/>
      </w:divBdr>
    </w:div>
    <w:div w:id="1300066794">
      <w:bodyDiv w:val="1"/>
      <w:marLeft w:val="0"/>
      <w:marRight w:val="0"/>
      <w:marTop w:val="0"/>
      <w:marBottom w:val="0"/>
      <w:divBdr>
        <w:top w:val="none" w:sz="0" w:space="0" w:color="auto"/>
        <w:left w:val="none" w:sz="0" w:space="0" w:color="auto"/>
        <w:bottom w:val="none" w:sz="0" w:space="0" w:color="auto"/>
        <w:right w:val="none" w:sz="0" w:space="0" w:color="auto"/>
      </w:divBdr>
    </w:div>
    <w:div w:id="1394424793">
      <w:bodyDiv w:val="1"/>
      <w:marLeft w:val="0"/>
      <w:marRight w:val="0"/>
      <w:marTop w:val="0"/>
      <w:marBottom w:val="0"/>
      <w:divBdr>
        <w:top w:val="none" w:sz="0" w:space="0" w:color="auto"/>
        <w:left w:val="none" w:sz="0" w:space="0" w:color="auto"/>
        <w:bottom w:val="none" w:sz="0" w:space="0" w:color="auto"/>
        <w:right w:val="none" w:sz="0" w:space="0" w:color="auto"/>
      </w:divBdr>
    </w:div>
    <w:div w:id="1411805018">
      <w:bodyDiv w:val="1"/>
      <w:marLeft w:val="0"/>
      <w:marRight w:val="0"/>
      <w:marTop w:val="0"/>
      <w:marBottom w:val="0"/>
      <w:divBdr>
        <w:top w:val="none" w:sz="0" w:space="0" w:color="auto"/>
        <w:left w:val="none" w:sz="0" w:space="0" w:color="auto"/>
        <w:bottom w:val="none" w:sz="0" w:space="0" w:color="auto"/>
        <w:right w:val="none" w:sz="0" w:space="0" w:color="auto"/>
      </w:divBdr>
    </w:div>
    <w:div w:id="1508405517">
      <w:bodyDiv w:val="1"/>
      <w:marLeft w:val="0"/>
      <w:marRight w:val="0"/>
      <w:marTop w:val="0"/>
      <w:marBottom w:val="0"/>
      <w:divBdr>
        <w:top w:val="none" w:sz="0" w:space="0" w:color="auto"/>
        <w:left w:val="none" w:sz="0" w:space="0" w:color="auto"/>
        <w:bottom w:val="none" w:sz="0" w:space="0" w:color="auto"/>
        <w:right w:val="none" w:sz="0" w:space="0" w:color="auto"/>
      </w:divBdr>
    </w:div>
    <w:div w:id="1536236716">
      <w:bodyDiv w:val="1"/>
      <w:marLeft w:val="0"/>
      <w:marRight w:val="0"/>
      <w:marTop w:val="0"/>
      <w:marBottom w:val="0"/>
      <w:divBdr>
        <w:top w:val="none" w:sz="0" w:space="0" w:color="auto"/>
        <w:left w:val="none" w:sz="0" w:space="0" w:color="auto"/>
        <w:bottom w:val="none" w:sz="0" w:space="0" w:color="auto"/>
        <w:right w:val="none" w:sz="0" w:space="0" w:color="auto"/>
      </w:divBdr>
    </w:div>
    <w:div w:id="1538467553">
      <w:bodyDiv w:val="1"/>
      <w:marLeft w:val="0"/>
      <w:marRight w:val="0"/>
      <w:marTop w:val="0"/>
      <w:marBottom w:val="0"/>
      <w:divBdr>
        <w:top w:val="none" w:sz="0" w:space="0" w:color="auto"/>
        <w:left w:val="none" w:sz="0" w:space="0" w:color="auto"/>
        <w:bottom w:val="none" w:sz="0" w:space="0" w:color="auto"/>
        <w:right w:val="none" w:sz="0" w:space="0" w:color="auto"/>
      </w:divBdr>
    </w:div>
    <w:div w:id="1653634920">
      <w:bodyDiv w:val="1"/>
      <w:marLeft w:val="0"/>
      <w:marRight w:val="0"/>
      <w:marTop w:val="0"/>
      <w:marBottom w:val="0"/>
      <w:divBdr>
        <w:top w:val="none" w:sz="0" w:space="0" w:color="auto"/>
        <w:left w:val="none" w:sz="0" w:space="0" w:color="auto"/>
        <w:bottom w:val="none" w:sz="0" w:space="0" w:color="auto"/>
        <w:right w:val="none" w:sz="0" w:space="0" w:color="auto"/>
      </w:divBdr>
    </w:div>
    <w:div w:id="1668172079">
      <w:bodyDiv w:val="1"/>
      <w:marLeft w:val="0"/>
      <w:marRight w:val="0"/>
      <w:marTop w:val="0"/>
      <w:marBottom w:val="0"/>
      <w:divBdr>
        <w:top w:val="none" w:sz="0" w:space="0" w:color="auto"/>
        <w:left w:val="none" w:sz="0" w:space="0" w:color="auto"/>
        <w:bottom w:val="none" w:sz="0" w:space="0" w:color="auto"/>
        <w:right w:val="none" w:sz="0" w:space="0" w:color="auto"/>
      </w:divBdr>
    </w:div>
    <w:div w:id="1949849166">
      <w:bodyDiv w:val="1"/>
      <w:marLeft w:val="0"/>
      <w:marRight w:val="0"/>
      <w:marTop w:val="0"/>
      <w:marBottom w:val="0"/>
      <w:divBdr>
        <w:top w:val="none" w:sz="0" w:space="0" w:color="auto"/>
        <w:left w:val="none" w:sz="0" w:space="0" w:color="auto"/>
        <w:bottom w:val="none" w:sz="0" w:space="0" w:color="auto"/>
        <w:right w:val="none" w:sz="0" w:space="0" w:color="auto"/>
      </w:divBdr>
    </w:div>
    <w:div w:id="1963995259">
      <w:bodyDiv w:val="1"/>
      <w:marLeft w:val="0"/>
      <w:marRight w:val="0"/>
      <w:marTop w:val="0"/>
      <w:marBottom w:val="0"/>
      <w:divBdr>
        <w:top w:val="none" w:sz="0" w:space="0" w:color="auto"/>
        <w:left w:val="none" w:sz="0" w:space="0" w:color="auto"/>
        <w:bottom w:val="none" w:sz="0" w:space="0" w:color="auto"/>
        <w:right w:val="none" w:sz="0" w:space="0" w:color="auto"/>
      </w:divBdr>
    </w:div>
    <w:div w:id="2002464994">
      <w:bodyDiv w:val="1"/>
      <w:marLeft w:val="0"/>
      <w:marRight w:val="0"/>
      <w:marTop w:val="0"/>
      <w:marBottom w:val="0"/>
      <w:divBdr>
        <w:top w:val="none" w:sz="0" w:space="0" w:color="auto"/>
        <w:left w:val="none" w:sz="0" w:space="0" w:color="auto"/>
        <w:bottom w:val="none" w:sz="0" w:space="0" w:color="auto"/>
        <w:right w:val="none" w:sz="0" w:space="0" w:color="auto"/>
      </w:divBdr>
    </w:div>
    <w:div w:id="21349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DUFB">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Year 3,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Cen18</b:Tag>
    <b:SourceType>DocumentFromInternetSite</b:SourceType>
    <b:Guid>{AEB68A25-1789-4339-8B72-6204332711B1}</b:Guid>
    <b:Title>Colorado SNAP - CBPP Analysis of Data from USDA FNS, FY 2017</b:Title>
    <b:Year>2018</b:Year>
    <b:Publisher>CBPP</b:Publisher>
    <b:Author>
      <b:Author>
        <b:Corporate>Center on Budget and Policy Priorities</b:Corporate>
      </b:Author>
    </b:Author>
    <b:InternetSiteTitle>Center on Budget and Policy Priorities</b:InternetSiteTitle>
    <b:Month>December</b:Month>
    <b:Day>3</b:Day>
    <b:URL>https://www.cbpp.org/sites/default/files/atoms/files/snap_factsheet_colorado.pdf</b:URL>
    <b:RefOrder>3</b:RefOrder>
  </b:Source>
  <b:Source>
    <b:Tag>USD172</b:Tag>
    <b:SourceType>Report</b:SourceType>
    <b:Guid>{C6AFBC63-7D08-4782-976B-444C18E06AD8}</b:Guid>
    <b:Title>Characteristics of Supplemental Nutrition Assistance Program Households: Fiscal Year 2016</b:Title>
    <b:Year>2017</b:Year>
    <b:Author>
      <b:Author>
        <b:Corporate>U.S. Department of Agriculture, Food and Nutrition Service, Office of Policy Support</b:Corporate>
      </b:Author>
    </b:Author>
    <b:Publisher>by Sarah Lauffer. Project Officer, Jenny Genser</b:Publisher>
    <b:City>Alexandria, VA</b:City>
    <b:RefOrder>2</b:RefOrder>
  </b:Source>
  <b:Source>
    <b:Tag>Del17</b:Tag>
    <b:SourceType>InternetSite</b:SourceType>
    <b:Guid>{C93FF96C-975D-4BC2-9F55-3BF447FEAF22}</b:Guid>
    <b:Title>DataUSA: Colorado</b:Title>
    <b:Year>2017</b:Year>
    <b:Author>
      <b:Author>
        <b:Corporate>Deloitte</b:Corporate>
      </b:Author>
    </b:Author>
    <b:InternetSiteTitle>DataUSA</b:InternetSiteTitle>
    <b:URL>https://datausa.io/profile/geo/colorado</b:URL>
    <b:RefOrder>1</b:RefOrder>
  </b:Source>
  <b:Source>
    <b:Tag>Fee17</b:Tag>
    <b:SourceType>DocumentFromInternetSite</b:SourceType>
    <b:Guid>{655981EE-9F33-4670-9DAD-C702EAC3FF48}</b:Guid>
    <b:Author>
      <b:Author>
        <b:Corporate>Feeding America</b:Corporate>
      </b:Author>
    </b:Author>
    <b:Title>Heath Care Provider Training: Screening for and Adressing Food Insecurity in Clinical Settings</b:Title>
    <b:InternetSiteTitle>Feeding America</b:InternetSiteTitle>
    <b:Year>2017</b:Year>
    <b:URL>https://hungerandhealth.feedingamerica.org/wp-content/uploads/2014/05/FA_Clinical-Training_2017.pdf</b:URL>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667CDD-4273-4263-8C46-F0AD7B9A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Double Up Colorado 2021 Evaluation: Impact on SNAP Recipients</vt:lpstr>
    </vt:vector>
  </TitlesOfParts>
  <Company>evaluation &amp; learning manager                                Livewell colorado</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Up Colorado 2023 Evaluation</dc:title>
  <dc:subject/>
  <dc:creator>Claire Siemer</dc:creator>
  <cp:keywords/>
  <dc:description/>
  <cp:lastModifiedBy>Gill,Mackenzie</cp:lastModifiedBy>
  <cp:revision>2</cp:revision>
  <cp:lastPrinted>2019-06-26T20:23:00Z</cp:lastPrinted>
  <dcterms:created xsi:type="dcterms:W3CDTF">2023-12-11T08:03:00Z</dcterms:created>
  <dcterms:modified xsi:type="dcterms:W3CDTF">2023-12-11T08:03:00Z</dcterms:modified>
</cp:coreProperties>
</file>